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543" w14:textId="1A3FAB25" w:rsidR="005430C1" w:rsidRDefault="005430C1"/>
    <w:p w14:paraId="58DA4E7E" w14:textId="5D3A890B" w:rsidR="00BA5832" w:rsidRDefault="00DD33AC" w:rsidP="003556C1">
      <w:pPr>
        <w:rPr>
          <w:b/>
          <w:color w:val="2F5496" w:themeColor="accent1" w:themeShade="BF"/>
          <w:lang w:val="de-DE"/>
        </w:rPr>
      </w:pPr>
      <w:r>
        <w:rPr>
          <w:noProof/>
        </w:rPr>
        <w:drawing>
          <wp:anchor distT="0" distB="0" distL="114300" distR="114300" simplePos="0" relativeHeight="251668480" behindDoc="0" locked="0" layoutInCell="1" allowOverlap="1" wp14:anchorId="5BB941E1" wp14:editId="3645E801">
            <wp:simplePos x="0" y="0"/>
            <wp:positionH relativeFrom="margin">
              <wp:align>left</wp:align>
            </wp:positionH>
            <wp:positionV relativeFrom="paragraph">
              <wp:posOffset>323215</wp:posOffset>
            </wp:positionV>
            <wp:extent cx="5461000" cy="2771140"/>
            <wp:effectExtent l="0" t="0" r="635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61000" cy="2771140"/>
                    </a:xfrm>
                    <a:prstGeom prst="rect">
                      <a:avLst/>
                    </a:prstGeom>
                  </pic:spPr>
                </pic:pic>
              </a:graphicData>
            </a:graphic>
            <wp14:sizeRelH relativeFrom="margin">
              <wp14:pctWidth>0</wp14:pctWidth>
            </wp14:sizeRelH>
            <wp14:sizeRelV relativeFrom="margin">
              <wp14:pctHeight>0</wp14:pctHeight>
            </wp14:sizeRelV>
          </wp:anchor>
        </w:drawing>
      </w:r>
      <w:r>
        <w:rPr>
          <w:b/>
          <w:color w:val="2F5496" w:themeColor="accent1" w:themeShade="BF"/>
          <w:lang w:val="de-DE"/>
        </w:rPr>
        <w:t xml:space="preserve">M1 </w:t>
      </w:r>
      <w:r w:rsidR="00BA5832">
        <w:rPr>
          <w:b/>
          <w:color w:val="2F5496" w:themeColor="accent1" w:themeShade="BF"/>
          <w:lang w:val="de-DE"/>
        </w:rPr>
        <w:t>GRAFIK: Überlegungen zur Vermittlung der jüdischen Geschichte im Unterricht</w:t>
      </w:r>
    </w:p>
    <w:p w14:paraId="54A827F3" w14:textId="2F05AC2D" w:rsidR="00DD33AC" w:rsidRPr="008B1DF6" w:rsidRDefault="00DD33AC" w:rsidP="00DD33AC">
      <w:pPr>
        <w:jc w:val="right"/>
        <w:rPr>
          <w:b/>
          <w:color w:val="2F5496" w:themeColor="accent1" w:themeShade="BF"/>
          <w:sz w:val="22"/>
          <w:szCs w:val="22"/>
          <w:lang w:val="de-DE"/>
        </w:rPr>
      </w:pPr>
      <w:r w:rsidRPr="008B1DF6">
        <w:rPr>
          <w:noProof/>
          <w:sz w:val="18"/>
          <w:szCs w:val="18"/>
          <w:lang w:val="de-DE"/>
        </w:rPr>
        <w:t xml:space="preserve">Abb. 1 </w:t>
      </w:r>
      <w:r w:rsidR="00D47909" w:rsidRPr="008B1DF6">
        <w:rPr>
          <w:noProof/>
          <w:sz w:val="18"/>
          <w:szCs w:val="18"/>
          <w:lang w:val="de-DE"/>
        </w:rPr>
        <w:t>(</w:t>
      </w:r>
      <w:r w:rsidRPr="008B1DF6">
        <w:rPr>
          <w:noProof/>
          <w:sz w:val="18"/>
          <w:szCs w:val="18"/>
          <w:lang w:val="de-DE"/>
        </w:rPr>
        <w:t>Sophia Schmitt</w:t>
      </w:r>
      <w:r w:rsidR="00D47909" w:rsidRPr="008B1DF6">
        <w:rPr>
          <w:noProof/>
          <w:sz w:val="18"/>
          <w:szCs w:val="18"/>
          <w:lang w:val="de-DE"/>
        </w:rPr>
        <w:t>)</w:t>
      </w:r>
    </w:p>
    <w:p w14:paraId="381CFFE0" w14:textId="77777777" w:rsidR="00DD33AC" w:rsidRDefault="00DD33AC">
      <w:pPr>
        <w:spacing w:after="160" w:line="259" w:lineRule="auto"/>
        <w:rPr>
          <w:b/>
          <w:color w:val="2F5496" w:themeColor="accent1" w:themeShade="BF"/>
          <w:lang w:val="de-DE"/>
        </w:rPr>
      </w:pPr>
      <w:r>
        <w:rPr>
          <w:b/>
          <w:color w:val="2F5496" w:themeColor="accent1" w:themeShade="BF"/>
          <w:lang w:val="de-DE"/>
        </w:rPr>
        <w:br w:type="page"/>
      </w:r>
    </w:p>
    <w:p w14:paraId="171A62CF" w14:textId="3B007CB2" w:rsidR="00DD33AC" w:rsidRDefault="00DD33AC" w:rsidP="003556C1">
      <w:pPr>
        <w:rPr>
          <w:b/>
          <w:color w:val="2F5496" w:themeColor="accent1" w:themeShade="BF"/>
          <w:lang w:val="de-DE"/>
        </w:rPr>
      </w:pPr>
    </w:p>
    <w:p w14:paraId="36F6C6A9" w14:textId="283E2090" w:rsidR="00DD33AC" w:rsidRDefault="00727883" w:rsidP="003556C1">
      <w:pPr>
        <w:rPr>
          <w:b/>
          <w:color w:val="2F5496" w:themeColor="accent1" w:themeShade="BF"/>
          <w:lang w:val="de-DE"/>
        </w:rPr>
      </w:pPr>
      <w:r>
        <w:rPr>
          <w:noProof/>
        </w:rPr>
        <w:drawing>
          <wp:anchor distT="0" distB="0" distL="114300" distR="114300" simplePos="0" relativeHeight="251672576" behindDoc="0" locked="0" layoutInCell="1" allowOverlap="1" wp14:anchorId="6E87984F" wp14:editId="43DCC9D2">
            <wp:simplePos x="0" y="0"/>
            <wp:positionH relativeFrom="column">
              <wp:posOffset>230505</wp:posOffset>
            </wp:positionH>
            <wp:positionV relativeFrom="paragraph">
              <wp:posOffset>321310</wp:posOffset>
            </wp:positionV>
            <wp:extent cx="5638800" cy="727011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38800" cy="7270115"/>
                    </a:xfrm>
                    <a:prstGeom prst="rect">
                      <a:avLst/>
                    </a:prstGeom>
                  </pic:spPr>
                </pic:pic>
              </a:graphicData>
            </a:graphic>
            <wp14:sizeRelH relativeFrom="margin">
              <wp14:pctWidth>0</wp14:pctWidth>
            </wp14:sizeRelH>
            <wp14:sizeRelV relativeFrom="margin">
              <wp14:pctHeight>0</wp14:pctHeight>
            </wp14:sizeRelV>
          </wp:anchor>
        </w:drawing>
      </w:r>
      <w:r w:rsidR="00DD33AC">
        <w:rPr>
          <w:b/>
          <w:color w:val="2F5496" w:themeColor="accent1" w:themeShade="BF"/>
          <w:lang w:val="de-DE"/>
        </w:rPr>
        <w:t xml:space="preserve">M2 KARTE: </w:t>
      </w:r>
      <w:r>
        <w:rPr>
          <w:b/>
          <w:color w:val="2F5496" w:themeColor="accent1" w:themeShade="BF"/>
          <w:lang w:val="de-DE"/>
        </w:rPr>
        <w:t>Rekonstruktion des jüdischen Viertels in Köln vor 1349</w:t>
      </w:r>
    </w:p>
    <w:p w14:paraId="4E7DDA01" w14:textId="77777777" w:rsidR="006E5839" w:rsidRDefault="006E5839" w:rsidP="00BB6288">
      <w:pPr>
        <w:jc w:val="right"/>
        <w:rPr>
          <w:noProof/>
          <w:sz w:val="20"/>
          <w:szCs w:val="20"/>
          <w:lang w:val="de-DE"/>
        </w:rPr>
      </w:pPr>
    </w:p>
    <w:p w14:paraId="2DB22FFF" w14:textId="315E6C2F" w:rsidR="00BB6288" w:rsidRDefault="00BB6288" w:rsidP="00BB6288">
      <w:pPr>
        <w:jc w:val="right"/>
        <w:rPr>
          <w:noProof/>
          <w:sz w:val="18"/>
          <w:szCs w:val="18"/>
          <w:lang w:val="de-DE"/>
        </w:rPr>
      </w:pPr>
      <w:r w:rsidRPr="008B1DF6">
        <w:rPr>
          <w:noProof/>
          <w:sz w:val="18"/>
          <w:szCs w:val="18"/>
          <w:lang w:val="de-DE"/>
        </w:rPr>
        <w:t xml:space="preserve">Abb. 2 </w:t>
      </w:r>
      <w:r w:rsidR="008B1DF6" w:rsidRPr="008B1DF6">
        <w:rPr>
          <w:noProof/>
          <w:sz w:val="18"/>
          <w:szCs w:val="18"/>
          <w:lang w:val="de-DE"/>
        </w:rPr>
        <w:t xml:space="preserve">(Stadt Köln, Archäologische Zone, </w:t>
      </w:r>
      <w:r w:rsidR="003A1938">
        <w:rPr>
          <w:noProof/>
          <w:sz w:val="18"/>
          <w:szCs w:val="18"/>
          <w:lang w:val="de-DE"/>
        </w:rPr>
        <w:t>M. Wiehen</w:t>
      </w:r>
      <w:r w:rsidR="008B1DF6" w:rsidRPr="008B1DF6">
        <w:rPr>
          <w:noProof/>
          <w:sz w:val="18"/>
          <w:szCs w:val="18"/>
          <w:lang w:val="de-DE"/>
        </w:rPr>
        <w:t>, 2021)</w:t>
      </w:r>
    </w:p>
    <w:p w14:paraId="79286B2A" w14:textId="27E80608" w:rsidR="00BD379B" w:rsidRPr="00BD379B" w:rsidRDefault="00BD379B" w:rsidP="003556C1">
      <w:pPr>
        <w:rPr>
          <w:bCs/>
          <w:lang w:val="de-DE"/>
        </w:rPr>
      </w:pPr>
    </w:p>
    <w:p w14:paraId="379E5D84" w14:textId="77777777" w:rsidR="00D211A9" w:rsidRDefault="00D211A9" w:rsidP="003556C1">
      <w:pPr>
        <w:rPr>
          <w:b/>
          <w:color w:val="2F5496" w:themeColor="accent1" w:themeShade="BF"/>
          <w:lang w:val="de-DE"/>
        </w:rPr>
      </w:pPr>
    </w:p>
    <w:p w14:paraId="7C600789" w14:textId="24A3B689" w:rsidR="003556C1" w:rsidRDefault="00B14865" w:rsidP="003556C1">
      <w:pPr>
        <w:rPr>
          <w:b/>
          <w:color w:val="2F5496" w:themeColor="accent1" w:themeShade="BF"/>
          <w:lang w:val="de-DE"/>
        </w:rPr>
      </w:pPr>
      <w:r>
        <w:rPr>
          <w:b/>
          <w:color w:val="2F5496" w:themeColor="accent1" w:themeShade="BF"/>
          <w:lang w:val="de-DE"/>
        </w:rPr>
        <w:t xml:space="preserve">M3 </w:t>
      </w:r>
      <w:r w:rsidR="0038265D" w:rsidRPr="0021306B">
        <w:rPr>
          <w:b/>
          <w:color w:val="2F5496" w:themeColor="accent1" w:themeShade="BF"/>
          <w:lang w:val="de-DE"/>
        </w:rPr>
        <w:t>QUELLE</w:t>
      </w:r>
      <w:r w:rsidR="00EA1339">
        <w:rPr>
          <w:b/>
          <w:color w:val="2F5496" w:themeColor="accent1" w:themeShade="BF"/>
          <w:lang w:val="de-DE"/>
        </w:rPr>
        <w:t>: Nachbarschaft</w:t>
      </w:r>
    </w:p>
    <w:p w14:paraId="3CDD8517" w14:textId="081530C0" w:rsidR="00FE78B3" w:rsidRPr="00EE1C22" w:rsidRDefault="00FE78B3" w:rsidP="00EE1C22">
      <w:pPr>
        <w:jc w:val="both"/>
        <w:rPr>
          <w:bCs/>
          <w:i/>
          <w:iCs/>
          <w:lang w:val="de-DE"/>
        </w:rPr>
      </w:pPr>
      <w:r w:rsidRPr="00EE1C22">
        <w:rPr>
          <w:bCs/>
          <w:i/>
          <w:iCs/>
          <w:lang w:val="de-DE"/>
        </w:rPr>
        <w:t xml:space="preserve">Oft erfahren wir nur dann etwas über jüdisch-christliche Nachbarschaft, wenn es Konflikte gab, die aktenkundig wurden; wenn das Zusammenleben problemlos funktionierte, gab es </w:t>
      </w:r>
      <w:r w:rsidR="001376B3">
        <w:rPr>
          <w:bCs/>
          <w:i/>
          <w:iCs/>
          <w:lang w:val="de-DE"/>
        </w:rPr>
        <w:t xml:space="preserve">meist </w:t>
      </w:r>
      <w:r w:rsidRPr="00EE1C22">
        <w:rPr>
          <w:bCs/>
          <w:i/>
          <w:iCs/>
          <w:lang w:val="de-DE"/>
        </w:rPr>
        <w:t>keine Notwendigkeit, dies zu dokumentieren. Diese Quelle stellt ein Gerichtsurteil aus Wien</w:t>
      </w:r>
      <w:r w:rsidR="00EE1C22" w:rsidRPr="00EE1C22">
        <w:rPr>
          <w:bCs/>
          <w:i/>
          <w:iCs/>
          <w:lang w:val="de-DE"/>
        </w:rPr>
        <w:t xml:space="preserve"> aus dem Jahr 1378</w:t>
      </w:r>
      <w:r w:rsidRPr="00EE1C22">
        <w:rPr>
          <w:bCs/>
          <w:i/>
          <w:iCs/>
          <w:lang w:val="de-DE"/>
        </w:rPr>
        <w:t xml:space="preserve"> dar: Angehörige des Deutschordens hatten sich darüber beschwert, dass ihr jüdischer Nachbar Hessmann – wie damals</w:t>
      </w:r>
      <w:r w:rsidR="00EE1C22" w:rsidRPr="00EE1C22">
        <w:rPr>
          <w:bCs/>
          <w:i/>
          <w:iCs/>
          <w:lang w:val="de-DE"/>
        </w:rPr>
        <w:t xml:space="preserve"> oft</w:t>
      </w:r>
      <w:r w:rsidRPr="00EE1C22">
        <w:rPr>
          <w:bCs/>
          <w:i/>
          <w:iCs/>
          <w:lang w:val="de-DE"/>
        </w:rPr>
        <w:t xml:space="preserve"> üblich – eine Toilette i</w:t>
      </w:r>
      <w:r w:rsidR="00EE1C22" w:rsidRPr="00EE1C22">
        <w:rPr>
          <w:bCs/>
          <w:i/>
          <w:iCs/>
          <w:lang w:val="de-DE"/>
        </w:rPr>
        <w:t>m</w:t>
      </w:r>
      <w:r w:rsidRPr="00EE1C22">
        <w:rPr>
          <w:bCs/>
          <w:i/>
          <w:iCs/>
          <w:lang w:val="de-DE"/>
        </w:rPr>
        <w:t xml:space="preserve"> gemeinsam</w:t>
      </w:r>
      <w:r w:rsidR="00EE1C22" w:rsidRPr="00EE1C22">
        <w:rPr>
          <w:bCs/>
          <w:i/>
          <w:iCs/>
          <w:lang w:val="de-DE"/>
        </w:rPr>
        <w:t xml:space="preserve"> genützten Hof errichtet hatte. Über diese Beschwerde entscheidet Ulrich Rössel, ein Mitglied des Wiener Stadtrates, wie folgt:</w:t>
      </w:r>
    </w:p>
    <w:p w14:paraId="5C23EBD6" w14:textId="6D40DA8D" w:rsidR="00C72C18" w:rsidRDefault="00C72C18" w:rsidP="00C72C18">
      <w:pPr>
        <w:spacing w:line="360" w:lineRule="auto"/>
        <w:jc w:val="both"/>
        <w:rPr>
          <w:bCs/>
          <w:lang w:val="de-DE"/>
        </w:rPr>
      </w:pPr>
      <w:r w:rsidRPr="00C72C18">
        <w:rPr>
          <w:bCs/>
          <w:lang w:val="de-DE"/>
        </w:rPr>
        <w:t>Ich, Ulrich Rössel, Mitglied des Rates der Stadt Wien, bestätige die Einigung zwischen Friedrich von Wobart, Landkomtur</w:t>
      </w:r>
      <w:r w:rsidR="005C7362">
        <w:rPr>
          <w:bCs/>
          <w:vertAlign w:val="superscript"/>
          <w:lang w:val="de-DE"/>
        </w:rPr>
        <w:t>1</w:t>
      </w:r>
      <w:r w:rsidRPr="00C72C18">
        <w:rPr>
          <w:bCs/>
          <w:lang w:val="de-DE"/>
        </w:rPr>
        <w:t xml:space="preserve"> des Deutschen Ordens in Österreich, Gilg, Komtur</w:t>
      </w:r>
      <w:r w:rsidR="005C7362">
        <w:rPr>
          <w:bCs/>
          <w:vertAlign w:val="superscript"/>
          <w:lang w:val="de-DE"/>
        </w:rPr>
        <w:t>1</w:t>
      </w:r>
      <w:r w:rsidRPr="00C72C18">
        <w:rPr>
          <w:bCs/>
          <w:lang w:val="de-DE"/>
        </w:rPr>
        <w:t xml:space="preserve"> des Deutschordenshauses</w:t>
      </w:r>
      <w:r w:rsidR="005C7362">
        <w:rPr>
          <w:bCs/>
          <w:vertAlign w:val="superscript"/>
          <w:lang w:val="de-DE"/>
        </w:rPr>
        <w:t>2</w:t>
      </w:r>
      <w:r w:rsidRPr="00C72C18">
        <w:rPr>
          <w:bCs/>
          <w:lang w:val="de-DE"/>
        </w:rPr>
        <w:t xml:space="preserve"> in Wien, und der Wiener Ordensbruderschaft einerseits und dem Juden Hessmann, Sohn des Baruchs andererseits über die Streitsache bezüglich des Höfleins, das unter dem Dach des genannten Juden hinter seinem Haus in dem Hof liegt. […] So habe ich zwischen den beiden Parteien </w:t>
      </w:r>
      <w:r w:rsidR="00625CCB">
        <w:rPr>
          <w:bCs/>
          <w:lang w:val="de-DE"/>
        </w:rPr>
        <w:t xml:space="preserve">Recht </w:t>
      </w:r>
      <w:r w:rsidRPr="00C72C18">
        <w:rPr>
          <w:bCs/>
          <w:lang w:val="de-DE"/>
        </w:rPr>
        <w:t xml:space="preserve">gesprochen und entschieden: </w:t>
      </w:r>
      <w:r w:rsidR="00625CCB">
        <w:rPr>
          <w:bCs/>
          <w:lang w:val="de-DE"/>
        </w:rPr>
        <w:t>D</w:t>
      </w:r>
      <w:r w:rsidRPr="00C72C18">
        <w:rPr>
          <w:bCs/>
          <w:lang w:val="de-DE"/>
        </w:rPr>
        <w:t>ie erwähnten Deutschordensherren sollen in dem genannten Höflein unten ein Stockwerk haben; der genannte Jude darf darauf ein weiteres Stockwerk hoch unter seinem Dach bauen. Außerdem soll der Jude in dem Höflein einen Schuh von der Wand entfernt einen Abtritt</w:t>
      </w:r>
      <w:r w:rsidR="005C7362">
        <w:rPr>
          <w:bCs/>
          <w:vertAlign w:val="superscript"/>
          <w:lang w:val="de-DE"/>
        </w:rPr>
        <w:t>3</w:t>
      </w:r>
      <w:r w:rsidRPr="00C72C18">
        <w:rPr>
          <w:bCs/>
          <w:lang w:val="de-DE"/>
        </w:rPr>
        <w:t xml:space="preserve"> (</w:t>
      </w:r>
      <w:r w:rsidRPr="00C72C18">
        <w:rPr>
          <w:bCs/>
          <w:i/>
          <w:iCs/>
          <w:lang w:val="de-DE"/>
        </w:rPr>
        <w:t>hewsel</w:t>
      </w:r>
      <w:r w:rsidRPr="00C72C18">
        <w:rPr>
          <w:bCs/>
          <w:lang w:val="de-DE"/>
        </w:rPr>
        <w:t>) graben, und wenn er mit der Grube über die Erde kommt, soll er die Grube verschließen und nur so weit offen lassen, dass ein Stuhl hineinpasst, auf dem ein Mensch sitzen kann während der Verrichtung seiner Notdurft</w:t>
      </w:r>
      <w:r w:rsidR="005C7362">
        <w:rPr>
          <w:bCs/>
          <w:vertAlign w:val="superscript"/>
          <w:lang w:val="de-DE"/>
        </w:rPr>
        <w:t>4</w:t>
      </w:r>
      <w:r w:rsidRPr="00C72C18">
        <w:rPr>
          <w:bCs/>
          <w:lang w:val="de-DE"/>
        </w:rPr>
        <w:t>. […] Der Jude soll kein Fenster in den genannten Hof haben und den Abtritt</w:t>
      </w:r>
      <w:r w:rsidR="005C7362">
        <w:rPr>
          <w:bCs/>
          <w:vertAlign w:val="superscript"/>
          <w:lang w:val="de-DE"/>
        </w:rPr>
        <w:t>3</w:t>
      </w:r>
      <w:r w:rsidRPr="00C72C18">
        <w:rPr>
          <w:bCs/>
          <w:lang w:val="de-DE"/>
        </w:rPr>
        <w:t xml:space="preserve"> durch sein Haus ausführen, so dass er im Hof der Deutschordensherren nichts zu schaffen hat.</w:t>
      </w:r>
    </w:p>
    <w:p w14:paraId="5D10A45B" w14:textId="321C4812" w:rsidR="00C72C18" w:rsidRPr="00AA21F0" w:rsidRDefault="00C72C18" w:rsidP="00AA21F0">
      <w:pPr>
        <w:spacing w:line="360" w:lineRule="auto"/>
        <w:jc w:val="right"/>
        <w:rPr>
          <w:bCs/>
          <w:sz w:val="18"/>
          <w:szCs w:val="18"/>
          <w:lang w:val="de-DE"/>
        </w:rPr>
      </w:pPr>
      <w:r w:rsidRPr="00AA21F0">
        <w:rPr>
          <w:bCs/>
          <w:sz w:val="18"/>
          <w:szCs w:val="18"/>
          <w:lang w:val="de-DE"/>
        </w:rPr>
        <w:t xml:space="preserve">(Quellenangabe: </w:t>
      </w:r>
      <w:r w:rsidR="00F408AC" w:rsidRPr="00AA21F0">
        <w:rPr>
          <w:bCs/>
          <w:sz w:val="18"/>
          <w:szCs w:val="18"/>
          <w:lang w:val="de-DE"/>
        </w:rPr>
        <w:t>137</w:t>
      </w:r>
      <w:r w:rsidR="00593445" w:rsidRPr="00AA21F0">
        <w:rPr>
          <w:bCs/>
          <w:sz w:val="18"/>
          <w:szCs w:val="18"/>
          <w:lang w:val="de-DE"/>
        </w:rPr>
        <w:t>8</w:t>
      </w:r>
      <w:r w:rsidR="00155F61" w:rsidRPr="00AA21F0">
        <w:rPr>
          <w:bCs/>
          <w:sz w:val="18"/>
          <w:szCs w:val="18"/>
          <w:lang w:val="de-DE"/>
        </w:rPr>
        <w:t xml:space="preserve"> März 8</w:t>
      </w:r>
      <w:r w:rsidR="00F408AC" w:rsidRPr="00AA21F0">
        <w:rPr>
          <w:bCs/>
          <w:sz w:val="18"/>
          <w:szCs w:val="18"/>
          <w:lang w:val="de-DE"/>
        </w:rPr>
        <w:t>, Wien, Orig.: DOZA, Uk.1378 III 8</w:t>
      </w:r>
      <w:r w:rsidR="00E05276" w:rsidRPr="00AA21F0">
        <w:rPr>
          <w:bCs/>
          <w:sz w:val="18"/>
          <w:szCs w:val="18"/>
          <w:lang w:val="de-DE"/>
        </w:rPr>
        <w:t>.)</w:t>
      </w:r>
    </w:p>
    <w:p w14:paraId="4EB17A4B" w14:textId="6E812D2A" w:rsidR="005C7362" w:rsidRDefault="005C7362" w:rsidP="00C72C18">
      <w:pPr>
        <w:spacing w:line="360" w:lineRule="auto"/>
        <w:jc w:val="both"/>
        <w:rPr>
          <w:b/>
          <w:lang w:val="de-DE"/>
        </w:rPr>
      </w:pPr>
      <w:r w:rsidRPr="005C7362">
        <w:rPr>
          <w:b/>
          <w:lang w:val="de-DE"/>
        </w:rPr>
        <w:t xml:space="preserve">Anmerkungen: </w:t>
      </w:r>
    </w:p>
    <w:p w14:paraId="6CAE92C6" w14:textId="5596C3C0" w:rsidR="005C7362" w:rsidRDefault="005C7362" w:rsidP="00DD2C3A">
      <w:pPr>
        <w:spacing w:line="240" w:lineRule="auto"/>
        <w:jc w:val="both"/>
        <w:rPr>
          <w:lang w:val="de-DE"/>
        </w:rPr>
      </w:pPr>
      <w:r w:rsidRPr="005C7362">
        <w:rPr>
          <w:b/>
          <w:bCs/>
          <w:lang w:val="de-DE"/>
        </w:rPr>
        <w:t>1</w:t>
      </w:r>
      <w:r>
        <w:rPr>
          <w:lang w:val="de-DE"/>
        </w:rPr>
        <w:t xml:space="preserve"> </w:t>
      </w:r>
      <w:r w:rsidRPr="005C7362">
        <w:rPr>
          <w:i/>
          <w:iCs/>
          <w:lang w:val="de-DE"/>
        </w:rPr>
        <w:t>Komtur:</w:t>
      </w:r>
      <w:r>
        <w:rPr>
          <w:lang w:val="de-DE"/>
        </w:rPr>
        <w:t xml:space="preserve"> </w:t>
      </w:r>
      <w:r w:rsidRPr="005C7362">
        <w:rPr>
          <w:lang w:val="de-DE"/>
        </w:rPr>
        <w:t>Leiter und Verwalter einer Ordensniederlassung</w:t>
      </w:r>
    </w:p>
    <w:p w14:paraId="13E07458" w14:textId="539FA5CC" w:rsidR="005C7362" w:rsidRDefault="005C7362" w:rsidP="00DD2C3A">
      <w:pPr>
        <w:spacing w:line="240" w:lineRule="auto"/>
        <w:rPr>
          <w:lang w:val="de-DE"/>
        </w:rPr>
      </w:pPr>
      <w:r w:rsidRPr="005C7362">
        <w:rPr>
          <w:b/>
          <w:bCs/>
          <w:lang w:val="de-DE"/>
        </w:rPr>
        <w:t>2</w:t>
      </w:r>
      <w:r>
        <w:rPr>
          <w:lang w:val="de-DE"/>
        </w:rPr>
        <w:t xml:space="preserve"> </w:t>
      </w:r>
      <w:r w:rsidRPr="005C7362">
        <w:rPr>
          <w:i/>
          <w:iCs/>
          <w:lang w:val="de-DE"/>
        </w:rPr>
        <w:t>Deutschorden:</w:t>
      </w:r>
      <w:r>
        <w:rPr>
          <w:lang w:val="de-DE"/>
        </w:rPr>
        <w:t xml:space="preserve"> auch Deutscher Orden oder Deutschritterorden genannt: römisch-katholische Ordensgemeinschaft in der Tradition der Ritterorden aus der Zeit der Krezzüge</w:t>
      </w:r>
    </w:p>
    <w:p w14:paraId="7DD6FEFF" w14:textId="5D92A29C" w:rsidR="005C7362" w:rsidRDefault="005C7362" w:rsidP="00DD2C3A">
      <w:pPr>
        <w:spacing w:line="240" w:lineRule="auto"/>
        <w:rPr>
          <w:lang w:val="de-DE"/>
        </w:rPr>
      </w:pPr>
      <w:r w:rsidRPr="005C7362">
        <w:rPr>
          <w:b/>
          <w:bCs/>
          <w:lang w:val="de-DE"/>
        </w:rPr>
        <w:t>3</w:t>
      </w:r>
      <w:r>
        <w:rPr>
          <w:lang w:val="de-DE"/>
        </w:rPr>
        <w:t xml:space="preserve"> </w:t>
      </w:r>
      <w:r w:rsidRPr="005C7362">
        <w:rPr>
          <w:i/>
          <w:iCs/>
          <w:lang w:val="de-DE"/>
        </w:rPr>
        <w:t>Abtritt:</w:t>
      </w:r>
      <w:r>
        <w:rPr>
          <w:lang w:val="de-DE"/>
        </w:rPr>
        <w:t xml:space="preserve"> Toilette</w:t>
      </w:r>
    </w:p>
    <w:p w14:paraId="5D751389" w14:textId="0398D324" w:rsidR="00DD2C3A" w:rsidRPr="00DD2C3A" w:rsidRDefault="00DD2C3A" w:rsidP="00DD2C3A">
      <w:pPr>
        <w:spacing w:line="240" w:lineRule="auto"/>
        <w:rPr>
          <w:lang w:val="de-DE"/>
        </w:rPr>
      </w:pPr>
      <w:r w:rsidRPr="00DD2C3A">
        <w:rPr>
          <w:b/>
          <w:bCs/>
          <w:lang w:val="de-DE"/>
        </w:rPr>
        <w:t>4</w:t>
      </w:r>
      <w:r>
        <w:rPr>
          <w:lang w:val="de-DE"/>
        </w:rPr>
        <w:t xml:space="preserve"> </w:t>
      </w:r>
      <w:r>
        <w:rPr>
          <w:i/>
          <w:lang w:val="de-DE"/>
        </w:rPr>
        <w:t xml:space="preserve">Notdurft: </w:t>
      </w:r>
      <w:r>
        <w:rPr>
          <w:lang w:val="de-DE"/>
        </w:rPr>
        <w:t>Stuhlgang, Toilettengang</w:t>
      </w:r>
    </w:p>
    <w:p w14:paraId="30FF04AF" w14:textId="77777777" w:rsidR="005C7362" w:rsidRPr="005C7362" w:rsidRDefault="005C7362" w:rsidP="00C72C18">
      <w:pPr>
        <w:spacing w:line="360" w:lineRule="auto"/>
        <w:jc w:val="both"/>
        <w:rPr>
          <w:b/>
        </w:rPr>
      </w:pPr>
    </w:p>
    <w:p w14:paraId="6109C762" w14:textId="4F32D7F6" w:rsidR="00EA1339" w:rsidRPr="00C72C18" w:rsidRDefault="00EA1339" w:rsidP="003556C1">
      <w:pPr>
        <w:rPr>
          <w:b/>
          <w:color w:val="2F5496" w:themeColor="accent1" w:themeShade="BF"/>
        </w:rPr>
      </w:pPr>
    </w:p>
    <w:p w14:paraId="5D000D04" w14:textId="77777777" w:rsidR="00C035F0" w:rsidRDefault="00C035F0" w:rsidP="00EA1339">
      <w:pPr>
        <w:rPr>
          <w:b/>
          <w:color w:val="2F5496" w:themeColor="accent1" w:themeShade="BF"/>
          <w:lang w:val="de-DE"/>
        </w:rPr>
      </w:pPr>
    </w:p>
    <w:p w14:paraId="08B6ECD9" w14:textId="77777777" w:rsidR="007D7260" w:rsidRDefault="007D7260" w:rsidP="00EA1339">
      <w:pPr>
        <w:rPr>
          <w:b/>
          <w:color w:val="2F5496" w:themeColor="accent1" w:themeShade="BF"/>
          <w:lang w:val="de-DE"/>
        </w:rPr>
      </w:pPr>
    </w:p>
    <w:p w14:paraId="3B6DF949" w14:textId="0D978430" w:rsidR="00EA1339" w:rsidRDefault="00B14865" w:rsidP="00EA1339">
      <w:pPr>
        <w:rPr>
          <w:b/>
          <w:color w:val="2F5496" w:themeColor="accent1" w:themeShade="BF"/>
          <w:lang w:val="de-DE"/>
        </w:rPr>
      </w:pPr>
      <w:r>
        <w:rPr>
          <w:b/>
          <w:color w:val="2F5496" w:themeColor="accent1" w:themeShade="BF"/>
          <w:lang w:val="de-DE"/>
        </w:rPr>
        <w:t xml:space="preserve">M4 </w:t>
      </w:r>
      <w:r w:rsidR="00EA1339" w:rsidRPr="0021306B">
        <w:rPr>
          <w:b/>
          <w:color w:val="2F5496" w:themeColor="accent1" w:themeShade="BF"/>
          <w:lang w:val="de-DE"/>
        </w:rPr>
        <w:t>QUELLE</w:t>
      </w:r>
      <w:r w:rsidR="00EA1339">
        <w:rPr>
          <w:b/>
          <w:color w:val="2F5496" w:themeColor="accent1" w:themeShade="BF"/>
          <w:lang w:val="de-DE"/>
        </w:rPr>
        <w:t>: Nachbarschaft</w:t>
      </w:r>
    </w:p>
    <w:p w14:paraId="18FC81DA" w14:textId="6202C60F" w:rsidR="000D09BE" w:rsidRPr="000D09BE" w:rsidRDefault="000D09BE" w:rsidP="000D09BE">
      <w:pPr>
        <w:jc w:val="both"/>
        <w:rPr>
          <w:bCs/>
          <w:i/>
          <w:iCs/>
          <w:lang w:val="de-DE"/>
        </w:rPr>
      </w:pPr>
      <w:r w:rsidRPr="000D09BE">
        <w:rPr>
          <w:bCs/>
          <w:i/>
          <w:iCs/>
          <w:lang w:val="de-DE"/>
        </w:rPr>
        <w:t>Im mittelalterlichen Judentum war es für Jungen und Männer üblich, bei jüdischen Gelehrten die Religions</w:t>
      </w:r>
      <w:r w:rsidR="00625CCB">
        <w:rPr>
          <w:bCs/>
          <w:i/>
          <w:iCs/>
          <w:lang w:val="de-DE"/>
        </w:rPr>
        <w:t>texte und -gesetze</w:t>
      </w:r>
      <w:r w:rsidRPr="000D09BE">
        <w:rPr>
          <w:bCs/>
          <w:i/>
          <w:iCs/>
          <w:lang w:val="de-DE"/>
        </w:rPr>
        <w:t xml:space="preserve"> zu studieren. Häufig vertraten die Gelehrten unterschiedliche Ansichten dazu, wie die Religionsgesetze</w:t>
      </w:r>
      <w:r w:rsidR="006E6A4C">
        <w:rPr>
          <w:bCs/>
          <w:i/>
          <w:iCs/>
          <w:lang w:val="de-DE"/>
        </w:rPr>
        <w:t xml:space="preserve"> im Alltag</w:t>
      </w:r>
      <w:r w:rsidRPr="000D09BE">
        <w:rPr>
          <w:bCs/>
          <w:i/>
          <w:iCs/>
          <w:lang w:val="de-DE"/>
        </w:rPr>
        <w:t xml:space="preserve"> befolgt werden sollten – es gab richtige Streitgespräche darüber. Ihre Schüler schrieben die Aussprüche besonders berühmter Gelehrter in sogenannten „Schülerberichten“ nieder.</w:t>
      </w:r>
    </w:p>
    <w:p w14:paraId="6954A027" w14:textId="467E38E3" w:rsidR="00625CCB" w:rsidRDefault="000D09BE" w:rsidP="000D09BE">
      <w:pPr>
        <w:jc w:val="both"/>
        <w:rPr>
          <w:bCs/>
          <w:i/>
          <w:iCs/>
          <w:lang w:val="de-DE"/>
        </w:rPr>
      </w:pPr>
      <w:r w:rsidRPr="000D09BE">
        <w:rPr>
          <w:bCs/>
          <w:i/>
          <w:iCs/>
          <w:lang w:val="de-DE"/>
        </w:rPr>
        <w:t>In der folgenden Quelle aus dem 15. Jahrhundert berichtet Josef Ben Moshe in einem solchen Schülerbericht von den unterschiedlichen Ansichten der jüdischen Religionsgelehrten Rabbi Israel Isserlein und Rabbi Jona über</w:t>
      </w:r>
      <w:r w:rsidR="00625CCB">
        <w:rPr>
          <w:bCs/>
          <w:i/>
          <w:iCs/>
          <w:lang w:val="de-DE"/>
        </w:rPr>
        <w:t xml:space="preserve"> die Unterstützung bei der Einhaltung der Religionsgesetze durch die nicht-jüdischen Nachbarn während des jüdischen Pessach-Festes, das im Frühling gefeiert wird.</w:t>
      </w:r>
    </w:p>
    <w:p w14:paraId="4A464697" w14:textId="1B234119" w:rsidR="00251532" w:rsidRPr="00251532" w:rsidRDefault="00251532" w:rsidP="00251532">
      <w:pPr>
        <w:jc w:val="both"/>
        <w:rPr>
          <w:noProof/>
        </w:rPr>
      </w:pPr>
      <w:r w:rsidRPr="00251532">
        <w:rPr>
          <w:noProof/>
          <w:lang w:val="de-DE"/>
        </w:rPr>
        <w:t xml:space="preserve">Ein Fass für </w:t>
      </w:r>
      <w:r w:rsidRPr="00427452">
        <w:rPr>
          <w:noProof/>
          <w:lang w:val="de-DE"/>
        </w:rPr>
        <w:t>[</w:t>
      </w:r>
      <w:r w:rsidR="00427452" w:rsidRPr="00427452">
        <w:rPr>
          <w:i/>
          <w:iCs/>
          <w:noProof/>
          <w:lang w:val="de-DE"/>
        </w:rPr>
        <w:t>Anm.</w:t>
      </w:r>
      <w:r w:rsidR="00427452">
        <w:rPr>
          <w:i/>
          <w:iCs/>
          <w:noProof/>
          <w:lang w:val="de-DE"/>
        </w:rPr>
        <w:t>:</w:t>
      </w:r>
      <w:r w:rsidR="00427452" w:rsidRPr="00427452">
        <w:rPr>
          <w:i/>
          <w:iCs/>
          <w:noProof/>
          <w:lang w:val="de-DE"/>
        </w:rPr>
        <w:t xml:space="preserve"> </w:t>
      </w:r>
      <w:r w:rsidRPr="00427452">
        <w:rPr>
          <w:noProof/>
          <w:lang w:val="de-DE"/>
        </w:rPr>
        <w:t>bestimmte]</w:t>
      </w:r>
      <w:r w:rsidRPr="00251532">
        <w:rPr>
          <w:noProof/>
          <w:lang w:val="de-DE"/>
        </w:rPr>
        <w:t xml:space="preserve"> alkoholische Getränke </w:t>
      </w:r>
      <w:r w:rsidR="0043151D">
        <w:rPr>
          <w:noProof/>
          <w:lang w:val="de-DE"/>
        </w:rPr>
        <w:t>[</w:t>
      </w:r>
      <w:r w:rsidR="0043151D" w:rsidRPr="0043151D">
        <w:rPr>
          <w:i/>
          <w:iCs/>
          <w:noProof/>
          <w:lang w:val="de-DE"/>
        </w:rPr>
        <w:t>Anm.:</w:t>
      </w:r>
      <w:r w:rsidR="0043151D">
        <w:rPr>
          <w:noProof/>
          <w:lang w:val="de-DE"/>
        </w:rPr>
        <w:t xml:space="preserve"> vermutlich </w:t>
      </w:r>
      <w:r w:rsidRPr="00251532">
        <w:rPr>
          <w:noProof/>
          <w:lang w:val="de-DE"/>
        </w:rPr>
        <w:t>Bier</w:t>
      </w:r>
      <w:r w:rsidR="0043151D">
        <w:rPr>
          <w:noProof/>
          <w:lang w:val="de-DE"/>
        </w:rPr>
        <w:t>]</w:t>
      </w:r>
      <w:r w:rsidRPr="00251532">
        <w:rPr>
          <w:noProof/>
          <w:lang w:val="de-DE"/>
        </w:rPr>
        <w:t xml:space="preserve"> sowie die Werkzeuge zu dessen Herstellung sind eindeutig als </w:t>
      </w:r>
      <w:r w:rsidRPr="00251532">
        <w:rPr>
          <w:i/>
          <w:iCs/>
          <w:noProof/>
          <w:lang w:val="de-DE"/>
        </w:rPr>
        <w:t>chametz</w:t>
      </w:r>
      <w:r w:rsidRPr="00251532">
        <w:rPr>
          <w:noProof/>
          <w:lang w:val="de-DE"/>
        </w:rPr>
        <w:t xml:space="preserve"> [</w:t>
      </w:r>
      <w:r w:rsidR="0043151D" w:rsidRPr="0043151D">
        <w:rPr>
          <w:i/>
          <w:iCs/>
          <w:noProof/>
          <w:lang w:val="de-DE"/>
        </w:rPr>
        <w:t>Anm.:</w:t>
      </w:r>
      <w:r w:rsidRPr="00251532">
        <w:rPr>
          <w:noProof/>
          <w:lang w:val="de-DE"/>
        </w:rPr>
        <w:t xml:space="preserve"> als </w:t>
      </w:r>
      <w:r w:rsidR="0043151D">
        <w:rPr>
          <w:noProof/>
          <w:lang w:val="de-DE"/>
        </w:rPr>
        <w:t>g</w:t>
      </w:r>
      <w:r w:rsidRPr="00251532">
        <w:rPr>
          <w:noProof/>
          <w:lang w:val="de-DE"/>
        </w:rPr>
        <w:t>esäuert und damit an Pessach im Haus verboten]</w:t>
      </w:r>
      <w:r w:rsidR="004E6BD7">
        <w:rPr>
          <w:noProof/>
          <w:vertAlign w:val="superscript"/>
          <w:lang w:val="de-DE"/>
        </w:rPr>
        <w:t>1</w:t>
      </w:r>
      <w:r w:rsidRPr="00251532">
        <w:rPr>
          <w:noProof/>
          <w:lang w:val="de-DE"/>
        </w:rPr>
        <w:t xml:space="preserve"> anzusehen. Und das Getränkefass muss einem Nicht-Juden bis nach Pessach</w:t>
      </w:r>
      <w:r w:rsidR="004E6BD7">
        <w:rPr>
          <w:noProof/>
          <w:vertAlign w:val="superscript"/>
          <w:lang w:val="de-DE"/>
        </w:rPr>
        <w:t>1</w:t>
      </w:r>
      <w:r w:rsidRPr="00251532">
        <w:rPr>
          <w:noProof/>
          <w:lang w:val="de-DE"/>
        </w:rPr>
        <w:t xml:space="preserve"> als Geschenk gegeben werden oder bis auf den Verputz abgeschabt werden, wie die Schüsseln, in denen das ganze Jahr über Teig geknetet wird.  </w:t>
      </w:r>
    </w:p>
    <w:p w14:paraId="050EDB5C" w14:textId="6CB85398" w:rsidR="00251532" w:rsidRPr="00251532" w:rsidRDefault="00251532" w:rsidP="00251532">
      <w:pPr>
        <w:jc w:val="both"/>
        <w:rPr>
          <w:noProof/>
        </w:rPr>
      </w:pPr>
      <w:r w:rsidRPr="00251532">
        <w:rPr>
          <w:noProof/>
          <w:lang w:val="de-DE"/>
        </w:rPr>
        <w:t>Und ich sagte [</w:t>
      </w:r>
      <w:r w:rsidR="00E27DD5">
        <w:rPr>
          <w:i/>
          <w:noProof/>
          <w:lang w:val="de-DE"/>
        </w:rPr>
        <w:t xml:space="preserve">Anm.: </w:t>
      </w:r>
      <w:r w:rsidR="00E27DD5">
        <w:rPr>
          <w:noProof/>
          <w:lang w:val="de-DE"/>
        </w:rPr>
        <w:t xml:space="preserve">dem </w:t>
      </w:r>
      <w:r w:rsidRPr="00251532">
        <w:rPr>
          <w:noProof/>
          <w:lang w:val="de-DE"/>
        </w:rPr>
        <w:t>R</w:t>
      </w:r>
      <w:r w:rsidR="00E27DD5">
        <w:rPr>
          <w:noProof/>
          <w:lang w:val="de-DE"/>
        </w:rPr>
        <w:t>abbi</w:t>
      </w:r>
      <w:r w:rsidR="00194EC9">
        <w:rPr>
          <w:noProof/>
          <w:vertAlign w:val="superscript"/>
          <w:lang w:val="de-DE"/>
        </w:rPr>
        <w:t>2</w:t>
      </w:r>
      <w:r w:rsidRPr="00251532">
        <w:rPr>
          <w:noProof/>
          <w:lang w:val="de-DE"/>
        </w:rPr>
        <w:t xml:space="preserve"> Israel Isserlein], dass mein ehrenwerter Lehrer R</w:t>
      </w:r>
      <w:r w:rsidR="00E27DD5">
        <w:rPr>
          <w:noProof/>
          <w:lang w:val="de-DE"/>
        </w:rPr>
        <w:t>abbi</w:t>
      </w:r>
      <w:r w:rsidRPr="00251532">
        <w:rPr>
          <w:noProof/>
          <w:lang w:val="de-DE"/>
        </w:rPr>
        <w:t xml:space="preserve"> Jona, der Allmächtige behüte ihn und bewahre ihn, in Regensburg demjenigen, der ein solches Getränk besitzt und es nicht rechtzeitig vor Pessach verkaufen konnte, gestattet, dass er es einem Nicht-Juden verkaufe, damit er ihm das Getränk nach Pessach wieder zurückgibt</w:t>
      </w:r>
      <w:r w:rsidR="00625CCB">
        <w:rPr>
          <w:noProof/>
          <w:lang w:val="de-DE"/>
        </w:rPr>
        <w:t>.</w:t>
      </w:r>
      <w:r w:rsidRPr="00251532">
        <w:rPr>
          <w:noProof/>
          <w:lang w:val="de-DE"/>
        </w:rPr>
        <w:t xml:space="preserve"> [</w:t>
      </w:r>
      <w:r w:rsidR="00E27DD5">
        <w:rPr>
          <w:i/>
          <w:noProof/>
          <w:lang w:val="de-DE"/>
        </w:rPr>
        <w:t xml:space="preserve">Anm.: </w:t>
      </w:r>
      <w:r w:rsidRPr="00251532">
        <w:rPr>
          <w:noProof/>
          <w:lang w:val="de-DE"/>
        </w:rPr>
        <w:t>R</w:t>
      </w:r>
      <w:r w:rsidR="00E27DD5">
        <w:rPr>
          <w:noProof/>
          <w:lang w:val="de-DE"/>
        </w:rPr>
        <w:t>abbi</w:t>
      </w:r>
      <w:r w:rsidRPr="00251532">
        <w:rPr>
          <w:noProof/>
          <w:lang w:val="de-DE"/>
        </w:rPr>
        <w:t xml:space="preserve"> Jona erlaubt auch], dass man dem Nicht-Juden den Schlüssel des Zimmers [</w:t>
      </w:r>
      <w:r w:rsidR="00E27DD5">
        <w:rPr>
          <w:i/>
          <w:noProof/>
          <w:lang w:val="de-DE"/>
        </w:rPr>
        <w:t xml:space="preserve">Anm.:  </w:t>
      </w:r>
      <w:r w:rsidRPr="00251532">
        <w:rPr>
          <w:noProof/>
          <w:lang w:val="de-DE"/>
        </w:rPr>
        <w:t>in dem sich das Fass befindet] übergibt. Und [</w:t>
      </w:r>
      <w:r w:rsidR="00E27DD5">
        <w:rPr>
          <w:i/>
          <w:noProof/>
          <w:lang w:val="de-DE"/>
        </w:rPr>
        <w:t xml:space="preserve">Anm.: </w:t>
      </w:r>
      <w:r w:rsidRPr="00251532">
        <w:rPr>
          <w:noProof/>
          <w:lang w:val="de-DE"/>
        </w:rPr>
        <w:t>R</w:t>
      </w:r>
      <w:r w:rsidR="00E27DD5">
        <w:rPr>
          <w:noProof/>
          <w:lang w:val="de-DE"/>
        </w:rPr>
        <w:t>abbi</w:t>
      </w:r>
      <w:r w:rsidRPr="00251532">
        <w:rPr>
          <w:noProof/>
          <w:lang w:val="de-DE"/>
        </w:rPr>
        <w:t xml:space="preserve"> Isserlein] sagte daraufhin: </w:t>
      </w:r>
      <w:r w:rsidR="00E27DD5">
        <w:rPr>
          <w:noProof/>
          <w:lang w:val="de-DE"/>
        </w:rPr>
        <w:t>H</w:t>
      </w:r>
      <w:r w:rsidRPr="00251532">
        <w:rPr>
          <w:noProof/>
          <w:lang w:val="de-DE"/>
        </w:rPr>
        <w:t>ier in [</w:t>
      </w:r>
      <w:r w:rsidR="00E27DD5">
        <w:rPr>
          <w:i/>
          <w:noProof/>
          <w:lang w:val="de-DE"/>
        </w:rPr>
        <w:t xml:space="preserve">Anm.: </w:t>
      </w:r>
      <w:r w:rsidRPr="00251532">
        <w:rPr>
          <w:noProof/>
          <w:lang w:val="de-DE"/>
        </w:rPr>
        <w:t>Wiener] Neustadt erlaube ich dies nicht, aber an einigen Orten ist dieses Verhalten zugelassen.</w:t>
      </w:r>
    </w:p>
    <w:p w14:paraId="3757EB90" w14:textId="365FD972" w:rsidR="00251532" w:rsidRPr="00C72C18" w:rsidRDefault="00251532" w:rsidP="00AA21F0">
      <w:pPr>
        <w:spacing w:line="360" w:lineRule="auto"/>
        <w:jc w:val="right"/>
        <w:rPr>
          <w:bCs/>
          <w:sz w:val="20"/>
          <w:szCs w:val="20"/>
        </w:rPr>
      </w:pPr>
      <w:r w:rsidRPr="00AA21F0">
        <w:rPr>
          <w:bCs/>
          <w:sz w:val="18"/>
          <w:szCs w:val="18"/>
          <w:lang w:val="de-DE"/>
        </w:rPr>
        <w:t>(Quellenangabe: Josef Ben Moshe, Leket Yosher I, 15. Jh.; Orig.: BSB Cod. Hebr. 404</w:t>
      </w:r>
      <w:r w:rsidR="00593445" w:rsidRPr="00AA21F0">
        <w:rPr>
          <w:bCs/>
          <w:sz w:val="18"/>
          <w:szCs w:val="18"/>
          <w:lang w:val="de-DE"/>
        </w:rPr>
        <w:t>.</w:t>
      </w:r>
      <w:r w:rsidRPr="00AA21F0">
        <w:rPr>
          <w:bCs/>
          <w:sz w:val="18"/>
          <w:szCs w:val="18"/>
          <w:lang w:val="de-DE"/>
        </w:rPr>
        <w:t>)</w:t>
      </w:r>
    </w:p>
    <w:p w14:paraId="5F0881E2" w14:textId="77777777" w:rsidR="000954AC" w:rsidRDefault="000954AC" w:rsidP="000954AC">
      <w:pPr>
        <w:spacing w:line="360" w:lineRule="auto"/>
        <w:jc w:val="both"/>
        <w:rPr>
          <w:b/>
          <w:lang w:val="de-DE"/>
        </w:rPr>
      </w:pPr>
      <w:r w:rsidRPr="005C7362">
        <w:rPr>
          <w:b/>
          <w:lang w:val="de-DE"/>
        </w:rPr>
        <w:t xml:space="preserve">Anmerkungen: </w:t>
      </w:r>
    </w:p>
    <w:p w14:paraId="646BB17D" w14:textId="0BAE0073" w:rsidR="000954AC" w:rsidRDefault="000954AC" w:rsidP="000954AC">
      <w:pPr>
        <w:spacing w:line="240" w:lineRule="auto"/>
        <w:jc w:val="both"/>
        <w:rPr>
          <w:lang w:val="de-DE"/>
        </w:rPr>
      </w:pPr>
      <w:r w:rsidRPr="005C7362">
        <w:rPr>
          <w:b/>
          <w:bCs/>
          <w:lang w:val="de-DE"/>
        </w:rPr>
        <w:t>1</w:t>
      </w:r>
      <w:r>
        <w:rPr>
          <w:lang w:val="de-DE"/>
        </w:rPr>
        <w:t xml:space="preserve"> </w:t>
      </w:r>
      <w:r w:rsidR="00194EC9">
        <w:rPr>
          <w:i/>
          <w:iCs/>
          <w:lang w:val="de-DE"/>
        </w:rPr>
        <w:t>Pessach</w:t>
      </w:r>
      <w:r w:rsidRPr="005C7362">
        <w:rPr>
          <w:i/>
          <w:iCs/>
          <w:lang w:val="de-DE"/>
        </w:rPr>
        <w:t>:</w:t>
      </w:r>
      <w:r>
        <w:rPr>
          <w:lang w:val="de-DE"/>
        </w:rPr>
        <w:t xml:space="preserve"> </w:t>
      </w:r>
      <w:r w:rsidR="00194EC9">
        <w:rPr>
          <w:lang w:val="de-DE"/>
        </w:rPr>
        <w:t>An Pessach wird der Auszug der Israeliten aus dem pharaonischen Ägypten gefeiert. Es heißt auch „Fest der ungesäuerten Brote“, denn zu diesem Fest darf sich nichts Gesäuertes</w:t>
      </w:r>
      <w:r w:rsidR="006E6A4C">
        <w:rPr>
          <w:lang w:val="de-DE"/>
        </w:rPr>
        <w:t xml:space="preserve"> (Hebr. </w:t>
      </w:r>
      <w:r w:rsidR="006E6A4C">
        <w:rPr>
          <w:i/>
          <w:lang w:val="de-DE"/>
        </w:rPr>
        <w:t>chametz</w:t>
      </w:r>
      <w:r w:rsidR="006E6A4C">
        <w:rPr>
          <w:lang w:val="de-DE"/>
        </w:rPr>
        <w:t>)</w:t>
      </w:r>
      <w:r w:rsidR="00194EC9">
        <w:rPr>
          <w:lang w:val="de-DE"/>
        </w:rPr>
        <w:t>, also auch kein Hefebrot und kein Bier, im Haus gläubiger jüdischer Familien befinden.</w:t>
      </w:r>
      <w:r w:rsidR="00996090">
        <w:rPr>
          <w:lang w:val="de-DE"/>
        </w:rPr>
        <w:t xml:space="preserve"> Stattdessen werden an Pessach nur ungesäuerte Brote verzehrt.</w:t>
      </w:r>
    </w:p>
    <w:p w14:paraId="4FD9C98F" w14:textId="3638CF78" w:rsidR="000954AC" w:rsidRPr="00DD2C3A" w:rsidRDefault="000954AC" w:rsidP="00194EC9">
      <w:pPr>
        <w:spacing w:line="240" w:lineRule="auto"/>
        <w:rPr>
          <w:lang w:val="de-DE"/>
        </w:rPr>
      </w:pPr>
      <w:r w:rsidRPr="005C7362">
        <w:rPr>
          <w:b/>
          <w:bCs/>
          <w:lang w:val="de-DE"/>
        </w:rPr>
        <w:t>2</w:t>
      </w:r>
      <w:r>
        <w:rPr>
          <w:lang w:val="de-DE"/>
        </w:rPr>
        <w:t xml:space="preserve"> </w:t>
      </w:r>
      <w:r w:rsidR="00F91896" w:rsidRPr="00F91896">
        <w:rPr>
          <w:i/>
          <w:iCs/>
          <w:lang w:val="de-DE"/>
        </w:rPr>
        <w:t>Rabbi</w:t>
      </w:r>
      <w:r w:rsidRPr="005C7362">
        <w:rPr>
          <w:i/>
          <w:iCs/>
          <w:lang w:val="de-DE"/>
        </w:rPr>
        <w:t>:</w:t>
      </w:r>
      <w:r>
        <w:rPr>
          <w:lang w:val="de-DE"/>
        </w:rPr>
        <w:t xml:space="preserve"> </w:t>
      </w:r>
      <w:r w:rsidR="00645341">
        <w:rPr>
          <w:lang w:val="de-DE"/>
        </w:rPr>
        <w:t>jüdischer Religionsgelehrter</w:t>
      </w:r>
    </w:p>
    <w:p w14:paraId="49FF8E8D" w14:textId="77777777" w:rsidR="00251532" w:rsidRDefault="00251532" w:rsidP="00E34002">
      <w:pPr>
        <w:rPr>
          <w:b/>
          <w:color w:val="2F5496" w:themeColor="accent1" w:themeShade="BF"/>
          <w:lang w:val="de-DE"/>
        </w:rPr>
      </w:pPr>
    </w:p>
    <w:p w14:paraId="14229395" w14:textId="77777777" w:rsidR="00C6401D" w:rsidRDefault="00C6401D">
      <w:pPr>
        <w:spacing w:after="160" w:line="259" w:lineRule="auto"/>
        <w:rPr>
          <w:b/>
          <w:color w:val="2F5496" w:themeColor="accent1" w:themeShade="BF"/>
          <w:lang w:val="de-DE"/>
        </w:rPr>
      </w:pPr>
      <w:r>
        <w:rPr>
          <w:b/>
          <w:color w:val="2F5496" w:themeColor="accent1" w:themeShade="BF"/>
          <w:lang w:val="de-DE"/>
        </w:rPr>
        <w:br w:type="page"/>
      </w:r>
    </w:p>
    <w:p w14:paraId="2D4919D6" w14:textId="77777777" w:rsidR="00C6401D" w:rsidRDefault="00C6401D" w:rsidP="00E34002">
      <w:pPr>
        <w:rPr>
          <w:b/>
          <w:color w:val="2F5496" w:themeColor="accent1" w:themeShade="BF"/>
          <w:lang w:val="de-DE"/>
        </w:rPr>
      </w:pPr>
    </w:p>
    <w:p w14:paraId="2E7F42E5" w14:textId="0D847354" w:rsidR="00E34002" w:rsidRDefault="00B14865" w:rsidP="00E34002">
      <w:pPr>
        <w:rPr>
          <w:b/>
          <w:color w:val="2F5496" w:themeColor="accent1" w:themeShade="BF"/>
          <w:lang w:val="de-DE"/>
        </w:rPr>
      </w:pPr>
      <w:r>
        <w:rPr>
          <w:b/>
          <w:color w:val="2F5496" w:themeColor="accent1" w:themeShade="BF"/>
          <w:lang w:val="de-DE"/>
        </w:rPr>
        <w:t xml:space="preserve">M5 </w:t>
      </w:r>
      <w:r w:rsidR="00E34002" w:rsidRPr="0021306B">
        <w:rPr>
          <w:b/>
          <w:color w:val="2F5496" w:themeColor="accent1" w:themeShade="BF"/>
          <w:lang w:val="de-DE"/>
        </w:rPr>
        <w:t>QUELLE</w:t>
      </w:r>
      <w:r w:rsidR="00E34002">
        <w:rPr>
          <w:b/>
          <w:color w:val="2F5496" w:themeColor="accent1" w:themeShade="BF"/>
          <w:lang w:val="de-DE"/>
        </w:rPr>
        <w:t>: Wirtschaft</w:t>
      </w:r>
    </w:p>
    <w:p w14:paraId="0947938F" w14:textId="12448A7D" w:rsidR="00F9468F" w:rsidRDefault="00F9468F" w:rsidP="008A27D5">
      <w:pPr>
        <w:spacing w:after="0"/>
        <w:jc w:val="both"/>
        <w:rPr>
          <w:bCs/>
          <w:i/>
          <w:lang w:val="de-DE"/>
        </w:rPr>
      </w:pPr>
      <w:r w:rsidRPr="00B800F5">
        <w:rPr>
          <w:bCs/>
          <w:i/>
          <w:lang w:val="de-DE"/>
        </w:rPr>
        <w:t xml:space="preserve">Ein gängiges Vorurteil über mittelalterliche Juden lautet, sie seien </w:t>
      </w:r>
      <w:r w:rsidR="00764555">
        <w:rPr>
          <w:bCs/>
          <w:i/>
          <w:lang w:val="de-DE"/>
        </w:rPr>
        <w:t>in der Mehrzahl</w:t>
      </w:r>
      <w:r w:rsidRPr="00B800F5">
        <w:rPr>
          <w:bCs/>
          <w:i/>
          <w:lang w:val="de-DE"/>
        </w:rPr>
        <w:t xml:space="preserve"> Geldverleiher gewesen</w:t>
      </w:r>
      <w:r w:rsidR="00764555">
        <w:rPr>
          <w:bCs/>
          <w:i/>
          <w:lang w:val="de-DE"/>
        </w:rPr>
        <w:t>, da</w:t>
      </w:r>
      <w:r w:rsidRPr="00B800F5">
        <w:rPr>
          <w:bCs/>
          <w:i/>
          <w:lang w:val="de-DE"/>
        </w:rPr>
        <w:t xml:space="preserve"> </w:t>
      </w:r>
      <w:r w:rsidR="00764555">
        <w:rPr>
          <w:bCs/>
          <w:i/>
          <w:lang w:val="de-DE"/>
        </w:rPr>
        <w:t>Christen diesem Beruf nicht nachgehen durften</w:t>
      </w:r>
      <w:r w:rsidRPr="00B800F5">
        <w:rPr>
          <w:bCs/>
          <w:i/>
          <w:lang w:val="de-DE"/>
        </w:rPr>
        <w:t>. Das ist</w:t>
      </w:r>
      <w:r w:rsidR="00764555">
        <w:rPr>
          <w:bCs/>
          <w:i/>
          <w:lang w:val="de-DE"/>
        </w:rPr>
        <w:t xml:space="preserve"> nicht richtig:</w:t>
      </w:r>
      <w:r w:rsidRPr="00B800F5">
        <w:rPr>
          <w:bCs/>
          <w:i/>
          <w:lang w:val="de-DE"/>
        </w:rPr>
        <w:t xml:space="preserve"> Zwar war Christen der Geldverleih aus religiösen Gründen untersagt, es gab zu den meisten Zeiten aber vermutlich mindestens so viele christliche wie jüdische Geldverleiher</w:t>
      </w:r>
      <w:r w:rsidR="0094159A">
        <w:rPr>
          <w:bCs/>
          <w:i/>
          <w:lang w:val="de-DE"/>
        </w:rPr>
        <w:t xml:space="preserve">, </w:t>
      </w:r>
      <w:r w:rsidR="0094159A">
        <w:rPr>
          <w:bCs/>
          <w:i/>
        </w:rPr>
        <w:t>die sowohl in Konkurrenz zueinanderstanden als auch kooperierten</w:t>
      </w:r>
      <w:r w:rsidR="0094159A" w:rsidRPr="00B800F5">
        <w:rPr>
          <w:bCs/>
          <w:i/>
        </w:rPr>
        <w:t>.</w:t>
      </w:r>
      <w:r w:rsidR="0094159A">
        <w:rPr>
          <w:bCs/>
          <w:i/>
        </w:rPr>
        <w:t xml:space="preserve"> Solche Geschäftsbeziehungen hatten oft auch soziale Kontakte zwischen Juden und Christen zur Folge</w:t>
      </w:r>
      <w:r w:rsidRPr="00B800F5">
        <w:rPr>
          <w:bCs/>
          <w:i/>
          <w:lang w:val="de-DE"/>
        </w:rPr>
        <w:t xml:space="preserve">. </w:t>
      </w:r>
      <w:r w:rsidR="00764555">
        <w:rPr>
          <w:bCs/>
          <w:i/>
          <w:lang w:val="de-DE"/>
        </w:rPr>
        <w:t>Außerdem waren</w:t>
      </w:r>
      <w:r w:rsidRPr="00B800F5">
        <w:rPr>
          <w:bCs/>
          <w:i/>
          <w:lang w:val="de-DE"/>
        </w:rPr>
        <w:t xml:space="preserve"> Juden</w:t>
      </w:r>
      <w:r w:rsidR="00764555">
        <w:rPr>
          <w:bCs/>
          <w:i/>
          <w:lang w:val="de-DE"/>
        </w:rPr>
        <w:t xml:space="preserve"> auch</w:t>
      </w:r>
      <w:r w:rsidRPr="00B800F5">
        <w:rPr>
          <w:bCs/>
          <w:i/>
          <w:lang w:val="de-DE"/>
        </w:rPr>
        <w:t xml:space="preserve"> in anderen Berufen tätig, </w:t>
      </w:r>
      <w:r w:rsidR="0094159A">
        <w:rPr>
          <w:bCs/>
          <w:i/>
          <w:lang w:val="de-DE"/>
        </w:rPr>
        <w:t xml:space="preserve">beispielsweise </w:t>
      </w:r>
      <w:r w:rsidRPr="00B800F5">
        <w:rPr>
          <w:bCs/>
          <w:i/>
          <w:lang w:val="de-DE"/>
        </w:rPr>
        <w:t>als</w:t>
      </w:r>
      <w:r w:rsidR="00764555">
        <w:rPr>
          <w:bCs/>
          <w:i/>
          <w:lang w:val="de-DE"/>
        </w:rPr>
        <w:t xml:space="preserve"> Handwerker, </w:t>
      </w:r>
      <w:r w:rsidRPr="00B800F5">
        <w:rPr>
          <w:bCs/>
          <w:i/>
          <w:lang w:val="de-DE"/>
        </w:rPr>
        <w:t>Händler</w:t>
      </w:r>
      <w:r w:rsidR="000234FF">
        <w:rPr>
          <w:bCs/>
          <w:i/>
          <w:lang w:val="de-DE"/>
        </w:rPr>
        <w:t xml:space="preserve"> oder</w:t>
      </w:r>
      <w:r w:rsidR="00764555">
        <w:rPr>
          <w:bCs/>
          <w:i/>
          <w:lang w:val="de-DE"/>
        </w:rPr>
        <w:t xml:space="preserve"> </w:t>
      </w:r>
      <w:r w:rsidR="000234FF">
        <w:rPr>
          <w:bCs/>
          <w:i/>
          <w:lang w:val="de-DE"/>
        </w:rPr>
        <w:t xml:space="preserve"> Religionsgelehrte.</w:t>
      </w:r>
    </w:p>
    <w:p w14:paraId="64A743D0" w14:textId="37094C48" w:rsidR="000234FF" w:rsidRDefault="000234FF" w:rsidP="008A27D5">
      <w:pPr>
        <w:spacing w:after="0"/>
        <w:jc w:val="both"/>
        <w:rPr>
          <w:bCs/>
          <w:i/>
          <w:lang w:val="de-DE"/>
        </w:rPr>
      </w:pPr>
      <w:r>
        <w:rPr>
          <w:bCs/>
          <w:i/>
          <w:lang w:val="de-DE"/>
        </w:rPr>
        <w:t>Da es im Mittelalter mit einem hohen Risiko verbunden war, Geld zu verleihen, wurden verliehene Geldsummen auf Schuldscheinen notiert.</w:t>
      </w:r>
      <w:r w:rsidR="0094159A">
        <w:rPr>
          <w:bCs/>
          <w:i/>
          <w:lang w:val="de-DE"/>
        </w:rPr>
        <w:t xml:space="preserve"> Christliche und jüdische</w:t>
      </w:r>
      <w:r w:rsidR="00AE7EC7">
        <w:rPr>
          <w:bCs/>
          <w:i/>
          <w:lang w:val="de-DE"/>
        </w:rPr>
        <w:t xml:space="preserve"> Geldverleiher („Gläubiger“) konnte</w:t>
      </w:r>
      <w:r w:rsidR="0094159A">
        <w:rPr>
          <w:bCs/>
          <w:i/>
          <w:lang w:val="de-DE"/>
        </w:rPr>
        <w:t>n</w:t>
      </w:r>
      <w:r w:rsidR="00AE7EC7">
        <w:rPr>
          <w:bCs/>
          <w:i/>
          <w:lang w:val="de-DE"/>
        </w:rPr>
        <w:t xml:space="preserve"> mit einem Schuldschein vor Gericht die Rückzahlung der geliehenen Summe samt Zinsen einfordern, wenn der Schuldner nicht rechtzeitig bezahlte.</w:t>
      </w:r>
      <w:r>
        <w:rPr>
          <w:bCs/>
          <w:i/>
          <w:lang w:val="de-DE"/>
        </w:rPr>
        <w:t xml:space="preserve"> Der folgende Text stammt aus einem Schuldschein aus der Stadt Frankfurt aus dem Jahr 1347.</w:t>
      </w:r>
    </w:p>
    <w:p w14:paraId="78EA4E23" w14:textId="77777777" w:rsidR="008A27D5" w:rsidRPr="00B800F5" w:rsidRDefault="008A27D5" w:rsidP="008A27D5">
      <w:pPr>
        <w:spacing w:after="0"/>
        <w:jc w:val="both"/>
        <w:rPr>
          <w:bCs/>
          <w:i/>
          <w:lang w:val="de-DE"/>
        </w:rPr>
      </w:pPr>
    </w:p>
    <w:p w14:paraId="1D4ABC92" w14:textId="1A021E07" w:rsidR="00272C06" w:rsidRDefault="00272C06" w:rsidP="00272C06">
      <w:pPr>
        <w:spacing w:line="360" w:lineRule="auto"/>
        <w:jc w:val="both"/>
        <w:rPr>
          <w:noProof/>
          <w:lang w:val="de-DE"/>
        </w:rPr>
      </w:pPr>
      <w:r w:rsidRPr="00272C06">
        <w:rPr>
          <w:noProof/>
          <w:lang w:val="de-DE"/>
        </w:rPr>
        <w:t>Ich</w:t>
      </w:r>
      <w:r w:rsidR="007025E9">
        <w:rPr>
          <w:noProof/>
          <w:lang w:val="de-DE"/>
        </w:rPr>
        <w:t>,</w:t>
      </w:r>
      <w:r w:rsidRPr="00272C06">
        <w:rPr>
          <w:noProof/>
          <w:lang w:val="de-DE"/>
        </w:rPr>
        <w:t xml:space="preserve"> Gottfried von Dorndorf, Edelknecht</w:t>
      </w:r>
      <w:r w:rsidR="00EA79D0">
        <w:rPr>
          <w:noProof/>
          <w:vertAlign w:val="superscript"/>
          <w:lang w:val="de-DE"/>
        </w:rPr>
        <w:t>1</w:t>
      </w:r>
      <w:r w:rsidRPr="00272C06">
        <w:rPr>
          <w:noProof/>
          <w:lang w:val="de-DE"/>
        </w:rPr>
        <w:t>, erkläre öffentlich mit diesem Brief, dass ich heute vom Frankfurter Juden Falk von Münzenberg und seinen Erben 16 Pfund Heller</w:t>
      </w:r>
      <w:r w:rsidR="008E73B3">
        <w:rPr>
          <w:noProof/>
          <w:vertAlign w:val="superscript"/>
          <w:lang w:val="de-DE"/>
        </w:rPr>
        <w:t>2</w:t>
      </w:r>
      <w:r w:rsidRPr="00272C06">
        <w:rPr>
          <w:noProof/>
          <w:lang w:val="de-DE"/>
        </w:rPr>
        <w:t xml:space="preserve"> Kapital in guter Währung geliehen habe, die nach Jahresfrist mit 24 Pfund Heller</w:t>
      </w:r>
      <w:r w:rsidR="008E73B3">
        <w:rPr>
          <w:noProof/>
          <w:vertAlign w:val="superscript"/>
          <w:lang w:val="de-DE"/>
        </w:rPr>
        <w:t>2</w:t>
      </w:r>
      <w:r w:rsidRPr="00272C06">
        <w:rPr>
          <w:noProof/>
          <w:lang w:val="de-DE"/>
        </w:rPr>
        <w:t>, auch guter Währung, zurückzuzahlen sind. […] Als Bürgen</w:t>
      </w:r>
      <w:r w:rsidR="008E73B3">
        <w:rPr>
          <w:noProof/>
          <w:vertAlign w:val="superscript"/>
          <w:lang w:val="de-DE"/>
        </w:rPr>
        <w:t>3</w:t>
      </w:r>
      <w:r w:rsidRPr="00272C06">
        <w:rPr>
          <w:noProof/>
          <w:lang w:val="de-DE"/>
        </w:rPr>
        <w:t xml:space="preserve"> für Kapital und Zinsen verpflichten sich Junge von Breitenbach aus Gelnhausen und die beiden Frankfurter Bürger Lotze von Holzhausen und Henkin von Löwenberg, denen ich verspreche, dass ihnen aus der Bürgschaftsverpflichtung</w:t>
      </w:r>
      <w:r w:rsidR="008E73B3">
        <w:rPr>
          <w:noProof/>
          <w:vertAlign w:val="superscript"/>
          <w:lang w:val="de-DE"/>
        </w:rPr>
        <w:t>4</w:t>
      </w:r>
      <w:r w:rsidRPr="00272C06">
        <w:rPr>
          <w:noProof/>
          <w:lang w:val="de-DE"/>
        </w:rPr>
        <w:t xml:space="preserve"> kein Schaden und keine Eidespflicht</w:t>
      </w:r>
      <w:r w:rsidR="008E73B3">
        <w:rPr>
          <w:noProof/>
          <w:vertAlign w:val="superscript"/>
          <w:lang w:val="de-DE"/>
        </w:rPr>
        <w:t>5</w:t>
      </w:r>
      <w:r w:rsidRPr="00272C06">
        <w:rPr>
          <w:noProof/>
          <w:lang w:val="de-DE"/>
        </w:rPr>
        <w:t xml:space="preserve"> erwächst. Wenn das Jahr vergeht, ohne dass die Rückzahlung erfolgt ist und die Bürgen</w:t>
      </w:r>
      <w:r w:rsidR="008E73B3">
        <w:rPr>
          <w:noProof/>
          <w:vertAlign w:val="superscript"/>
          <w:lang w:val="de-DE"/>
        </w:rPr>
        <w:t>3</w:t>
      </w:r>
      <w:r w:rsidRPr="00272C06">
        <w:rPr>
          <w:noProof/>
          <w:lang w:val="de-DE"/>
        </w:rPr>
        <w:t xml:space="preserve"> darauf hingewiesen werden, so soll jeder von ihnen mit einem Pferd im Haus des genannten Juden zu Frankfurt Einlager</w:t>
      </w:r>
      <w:r w:rsidR="008E73B3">
        <w:rPr>
          <w:noProof/>
          <w:vertAlign w:val="superscript"/>
          <w:lang w:val="de-DE"/>
        </w:rPr>
        <w:t>6</w:t>
      </w:r>
      <w:r w:rsidRPr="00272C06">
        <w:rPr>
          <w:noProof/>
          <w:lang w:val="de-DE"/>
        </w:rPr>
        <w:t xml:space="preserve"> leisten, und weitere Pferde herbeibringen, wenn notwendig, so lange, bis das Darlehen mit Zinsen zurückgezahlt ist. </w:t>
      </w:r>
    </w:p>
    <w:p w14:paraId="4EED2C7C" w14:textId="5BC206EF" w:rsidR="00272C06" w:rsidRPr="00AA21F0" w:rsidRDefault="00272C06" w:rsidP="00AA21F0">
      <w:pPr>
        <w:spacing w:line="360" w:lineRule="auto"/>
        <w:jc w:val="right"/>
        <w:rPr>
          <w:noProof/>
          <w:sz w:val="18"/>
          <w:szCs w:val="18"/>
        </w:rPr>
      </w:pPr>
      <w:r w:rsidRPr="00AA21F0">
        <w:rPr>
          <w:bCs/>
          <w:sz w:val="18"/>
          <w:szCs w:val="18"/>
          <w:lang w:val="de-DE"/>
        </w:rPr>
        <w:t xml:space="preserve">(Quellenangabe: </w:t>
      </w:r>
      <w:r w:rsidRPr="00AA21F0">
        <w:rPr>
          <w:noProof/>
          <w:sz w:val="18"/>
          <w:szCs w:val="18"/>
          <w:lang w:val="de-DE"/>
        </w:rPr>
        <w:t>1347 August 29, Frankfurt; Orig.: Frankfurt, ISG Juden Urkunden 118</w:t>
      </w:r>
      <w:r w:rsidR="003B63AB" w:rsidRPr="00AA21F0">
        <w:rPr>
          <w:noProof/>
          <w:sz w:val="18"/>
          <w:szCs w:val="18"/>
          <w:lang w:val="de-DE"/>
        </w:rPr>
        <w:t>.</w:t>
      </w:r>
      <w:r w:rsidRPr="00AA21F0">
        <w:rPr>
          <w:bCs/>
          <w:sz w:val="18"/>
          <w:szCs w:val="18"/>
          <w:lang w:val="de-DE"/>
        </w:rPr>
        <w:t>)</w:t>
      </w:r>
    </w:p>
    <w:p w14:paraId="4E22FF78" w14:textId="77777777" w:rsidR="00180DAB" w:rsidRDefault="00180DAB">
      <w:pPr>
        <w:spacing w:after="160" w:line="259" w:lineRule="auto"/>
        <w:rPr>
          <w:b/>
          <w:lang w:val="de-DE"/>
        </w:rPr>
      </w:pPr>
      <w:r>
        <w:rPr>
          <w:b/>
          <w:lang w:val="de-DE"/>
        </w:rPr>
        <w:br w:type="page"/>
      </w:r>
    </w:p>
    <w:p w14:paraId="7AC72F37" w14:textId="77777777" w:rsidR="00180DAB" w:rsidRDefault="00180DAB" w:rsidP="007025E9">
      <w:pPr>
        <w:spacing w:line="360" w:lineRule="auto"/>
        <w:jc w:val="both"/>
        <w:rPr>
          <w:b/>
          <w:lang w:val="de-DE"/>
        </w:rPr>
      </w:pPr>
    </w:p>
    <w:p w14:paraId="7124F58F" w14:textId="2FAF7FD1" w:rsidR="007025E9" w:rsidRDefault="007025E9" w:rsidP="007025E9">
      <w:pPr>
        <w:spacing w:line="360" w:lineRule="auto"/>
        <w:jc w:val="both"/>
        <w:rPr>
          <w:b/>
          <w:lang w:val="de-DE"/>
        </w:rPr>
      </w:pPr>
      <w:r w:rsidRPr="005C7362">
        <w:rPr>
          <w:b/>
          <w:lang w:val="de-DE"/>
        </w:rPr>
        <w:t xml:space="preserve">Anmerkungen: </w:t>
      </w:r>
    </w:p>
    <w:p w14:paraId="31ED51B5" w14:textId="34C1F54A" w:rsidR="007025E9" w:rsidRDefault="007025E9" w:rsidP="007025E9">
      <w:pPr>
        <w:spacing w:line="240" w:lineRule="auto"/>
        <w:jc w:val="both"/>
        <w:rPr>
          <w:lang w:val="de-DE"/>
        </w:rPr>
      </w:pPr>
      <w:r w:rsidRPr="005C7362">
        <w:rPr>
          <w:b/>
          <w:bCs/>
          <w:lang w:val="de-DE"/>
        </w:rPr>
        <w:t>1</w:t>
      </w:r>
      <w:r>
        <w:rPr>
          <w:lang w:val="de-DE"/>
        </w:rPr>
        <w:t xml:space="preserve"> </w:t>
      </w:r>
      <w:r w:rsidR="00F0110D">
        <w:rPr>
          <w:i/>
          <w:iCs/>
          <w:lang w:val="de-DE"/>
        </w:rPr>
        <w:t>Edelknecht</w:t>
      </w:r>
      <w:r w:rsidRPr="005C7362">
        <w:rPr>
          <w:i/>
          <w:iCs/>
          <w:lang w:val="de-DE"/>
        </w:rPr>
        <w:t>:</w:t>
      </w:r>
      <w:r>
        <w:rPr>
          <w:lang w:val="de-DE"/>
        </w:rPr>
        <w:t xml:space="preserve"> </w:t>
      </w:r>
      <w:r w:rsidR="00405111">
        <w:rPr>
          <w:lang w:val="de-DE"/>
        </w:rPr>
        <w:t>mittelalterlicher</w:t>
      </w:r>
      <w:r w:rsidR="00253A07">
        <w:rPr>
          <w:lang w:val="de-DE"/>
        </w:rPr>
        <w:t xml:space="preserve"> Adeliger,</w:t>
      </w:r>
      <w:r w:rsidR="00405111">
        <w:rPr>
          <w:lang w:val="de-DE"/>
        </w:rPr>
        <w:t xml:space="preserve"> der (noch) nicht zum Ritter geschlagen wurde</w:t>
      </w:r>
    </w:p>
    <w:p w14:paraId="78644FD0" w14:textId="3D94D0F2" w:rsidR="007025E9" w:rsidRPr="00405111" w:rsidRDefault="007025E9" w:rsidP="007025E9">
      <w:pPr>
        <w:spacing w:line="240" w:lineRule="auto"/>
        <w:rPr>
          <w:iCs/>
          <w:lang w:val="de-DE"/>
        </w:rPr>
      </w:pPr>
      <w:r w:rsidRPr="005C7362">
        <w:rPr>
          <w:b/>
          <w:bCs/>
          <w:lang w:val="de-DE"/>
        </w:rPr>
        <w:t>2</w:t>
      </w:r>
      <w:r>
        <w:rPr>
          <w:lang w:val="de-DE"/>
        </w:rPr>
        <w:t xml:space="preserve"> </w:t>
      </w:r>
      <w:r w:rsidR="0003401D">
        <w:rPr>
          <w:i/>
          <w:iCs/>
          <w:lang w:val="de-DE"/>
        </w:rPr>
        <w:t>Heller:</w:t>
      </w:r>
      <w:r w:rsidR="00405111">
        <w:rPr>
          <w:i/>
          <w:iCs/>
          <w:lang w:val="de-DE"/>
        </w:rPr>
        <w:t xml:space="preserve"> </w:t>
      </w:r>
      <w:r w:rsidR="00405111">
        <w:rPr>
          <w:iCs/>
          <w:lang w:val="de-DE"/>
        </w:rPr>
        <w:t>mittelalterliche Münzwährung</w:t>
      </w:r>
    </w:p>
    <w:p w14:paraId="6B375C0A" w14:textId="4C7D1F15" w:rsidR="0003401D" w:rsidRPr="00405111" w:rsidRDefault="0003401D" w:rsidP="007025E9">
      <w:pPr>
        <w:spacing w:line="240" w:lineRule="auto"/>
        <w:rPr>
          <w:iCs/>
          <w:lang w:val="de-DE"/>
        </w:rPr>
      </w:pPr>
      <w:r>
        <w:rPr>
          <w:b/>
          <w:iCs/>
          <w:lang w:val="de-DE"/>
        </w:rPr>
        <w:t xml:space="preserve">3 </w:t>
      </w:r>
      <w:r>
        <w:rPr>
          <w:i/>
          <w:iCs/>
          <w:lang w:val="de-DE"/>
        </w:rPr>
        <w:t>Bürge:</w:t>
      </w:r>
      <w:r w:rsidR="00405111">
        <w:rPr>
          <w:iCs/>
          <w:lang w:val="de-DE"/>
        </w:rPr>
        <w:t xml:space="preserve"> Person, die sich dazu verpflichtet, die Schulden eines anderen im Fall von dessen Zahlungsunfähigkeit zu begleichen</w:t>
      </w:r>
    </w:p>
    <w:p w14:paraId="6C8EF615" w14:textId="16D8BB9E" w:rsidR="00117A85" w:rsidRPr="008C0E15" w:rsidRDefault="0003401D" w:rsidP="007025E9">
      <w:pPr>
        <w:spacing w:line="240" w:lineRule="auto"/>
        <w:rPr>
          <w:iCs/>
          <w:lang w:val="de-DE"/>
        </w:rPr>
      </w:pPr>
      <w:r>
        <w:rPr>
          <w:b/>
          <w:iCs/>
          <w:lang w:val="de-DE"/>
        </w:rPr>
        <w:t xml:space="preserve">4 </w:t>
      </w:r>
      <w:r w:rsidR="00117A85">
        <w:rPr>
          <w:i/>
          <w:iCs/>
          <w:lang w:val="de-DE"/>
        </w:rPr>
        <w:t xml:space="preserve">Bürgschaftsverpflichtung: </w:t>
      </w:r>
      <w:r w:rsidR="008C0E15">
        <w:rPr>
          <w:iCs/>
          <w:lang w:val="de-DE"/>
        </w:rPr>
        <w:t xml:space="preserve">Verpflichtung, für einen Schuldner als </w:t>
      </w:r>
      <w:r w:rsidR="008C0E15">
        <w:rPr>
          <w:i/>
          <w:iCs/>
          <w:lang w:val="de-DE"/>
        </w:rPr>
        <w:t>Bürge</w:t>
      </w:r>
      <w:r w:rsidR="008C0E15">
        <w:rPr>
          <w:iCs/>
          <w:lang w:val="de-DE"/>
        </w:rPr>
        <w:t xml:space="preserve"> einzustehen</w:t>
      </w:r>
    </w:p>
    <w:p w14:paraId="18D52CF4" w14:textId="77B960D8" w:rsidR="0003401D" w:rsidRPr="008A27D5" w:rsidRDefault="00117A85" w:rsidP="007025E9">
      <w:pPr>
        <w:spacing w:line="240" w:lineRule="auto"/>
        <w:rPr>
          <w:iCs/>
          <w:lang w:val="de-DE"/>
        </w:rPr>
      </w:pPr>
      <w:r>
        <w:rPr>
          <w:b/>
          <w:iCs/>
          <w:lang w:val="de-DE"/>
        </w:rPr>
        <w:t xml:space="preserve">5 </w:t>
      </w:r>
      <w:r w:rsidR="0003401D">
        <w:rPr>
          <w:i/>
          <w:iCs/>
          <w:lang w:val="de-DE"/>
        </w:rPr>
        <w:t>Eidespflicht:</w:t>
      </w:r>
      <w:r w:rsidR="008A27D5">
        <w:rPr>
          <w:i/>
          <w:iCs/>
          <w:lang w:val="de-DE"/>
        </w:rPr>
        <w:t xml:space="preserve"> </w:t>
      </w:r>
      <w:r w:rsidR="008A27D5">
        <w:rPr>
          <w:iCs/>
          <w:lang w:val="de-DE"/>
        </w:rPr>
        <w:t xml:space="preserve">Die Bürgen </w:t>
      </w:r>
      <w:r w:rsidR="008A27D5" w:rsidRPr="008A27D5">
        <w:rPr>
          <w:lang w:val="de-DE"/>
        </w:rPr>
        <w:t>(s. Anm. 3)</w:t>
      </w:r>
      <w:r w:rsidR="008A27D5">
        <w:rPr>
          <w:iCs/>
          <w:lang w:val="de-DE"/>
        </w:rPr>
        <w:t xml:space="preserve"> mussten nicht mit einem Eid darauf schwören, dass der Kredit beglichen würde. Eidbruch konnte im Mittelalter schwer bestraft werden. Diese Formulierung erleichtert es den beiden Bürgen also, eine Bürgschaftsverpflichtung einzugehen.</w:t>
      </w:r>
    </w:p>
    <w:p w14:paraId="66183177" w14:textId="16A4DA82" w:rsidR="0003401D" w:rsidRPr="008B2B6C" w:rsidRDefault="00117A85" w:rsidP="007554D1">
      <w:pPr>
        <w:spacing w:line="240" w:lineRule="auto"/>
        <w:rPr>
          <w:lang w:val="de-DE"/>
        </w:rPr>
      </w:pPr>
      <w:r>
        <w:rPr>
          <w:b/>
          <w:iCs/>
          <w:lang w:val="de-DE"/>
        </w:rPr>
        <w:t>6</w:t>
      </w:r>
      <w:r w:rsidR="0003401D">
        <w:rPr>
          <w:b/>
          <w:iCs/>
          <w:lang w:val="de-DE"/>
        </w:rPr>
        <w:t xml:space="preserve"> </w:t>
      </w:r>
      <w:r w:rsidR="0003401D">
        <w:rPr>
          <w:i/>
          <w:iCs/>
          <w:lang w:val="de-DE"/>
        </w:rPr>
        <w:t xml:space="preserve">Einlager: </w:t>
      </w:r>
      <w:r w:rsidR="008B2B6C" w:rsidRPr="008B2B6C">
        <w:rPr>
          <w:iCs/>
          <w:lang w:val="de-DE"/>
        </w:rPr>
        <w:t xml:space="preserve">Verpflichtung eines Schuldners oder seines Bürgen dem Gläubiger gegenüber, sich bei Verzug oder Vertragsbruch an einem bestimmten Ort einzufinden und dort so lange zu bleiben, </w:t>
      </w:r>
      <w:r w:rsidR="007554D1">
        <w:rPr>
          <w:iCs/>
        </w:rPr>
        <w:t xml:space="preserve">zu wohnen und zu speisen, </w:t>
      </w:r>
      <w:r w:rsidR="007554D1" w:rsidRPr="008B2B6C">
        <w:rPr>
          <w:iCs/>
        </w:rPr>
        <w:t>bis die geschuldete Leistung erbracht war</w:t>
      </w:r>
      <w:r w:rsidR="007554D1">
        <w:rPr>
          <w:iCs/>
        </w:rPr>
        <w:t>, um den Druck auf den Schuldner erhöhen</w:t>
      </w:r>
      <w:r w:rsidR="007554D1">
        <w:rPr>
          <w:iCs/>
          <w:lang w:val="de-DE"/>
        </w:rPr>
        <w:t>;</w:t>
      </w:r>
      <w:r w:rsidR="0094159A">
        <w:rPr>
          <w:iCs/>
          <w:lang w:val="de-DE"/>
        </w:rPr>
        <w:t xml:space="preserve"> ein Einlager konnte bedeuten, dass – wie in dieser Quelle thematisiert – christliche Bürgen potentiell monatelang bei jüdischen Gläubigern einquartiert wurden, mit diesen Mahlzeiten teilten und auf engem Raum lebten.</w:t>
      </w:r>
    </w:p>
    <w:p w14:paraId="6E53F6EA" w14:textId="30E9A218" w:rsidR="00E34002" w:rsidRDefault="00E34002" w:rsidP="00E34002">
      <w:pPr>
        <w:rPr>
          <w:b/>
          <w:color w:val="2F5496" w:themeColor="accent1" w:themeShade="BF"/>
          <w:lang w:val="de-DE"/>
        </w:rPr>
      </w:pPr>
    </w:p>
    <w:p w14:paraId="1FE7F4DF" w14:textId="77777777" w:rsidR="00180DAB" w:rsidRDefault="00180DAB">
      <w:pPr>
        <w:spacing w:after="160" w:line="259" w:lineRule="auto"/>
        <w:rPr>
          <w:b/>
          <w:color w:val="2F5496" w:themeColor="accent1" w:themeShade="BF"/>
          <w:lang w:val="de-DE"/>
        </w:rPr>
      </w:pPr>
      <w:r>
        <w:rPr>
          <w:b/>
          <w:color w:val="2F5496" w:themeColor="accent1" w:themeShade="BF"/>
          <w:lang w:val="de-DE"/>
        </w:rPr>
        <w:br w:type="page"/>
      </w:r>
    </w:p>
    <w:p w14:paraId="3000B442" w14:textId="77777777" w:rsidR="00180DAB" w:rsidRDefault="00180DAB" w:rsidP="001C64DD">
      <w:pPr>
        <w:rPr>
          <w:b/>
          <w:color w:val="2F5496" w:themeColor="accent1" w:themeShade="BF"/>
          <w:lang w:val="de-DE"/>
        </w:rPr>
      </w:pPr>
    </w:p>
    <w:p w14:paraId="51492820" w14:textId="20A9DFF0" w:rsidR="001C64DD" w:rsidRDefault="00B14865" w:rsidP="001C64DD">
      <w:pPr>
        <w:rPr>
          <w:b/>
          <w:color w:val="2F5496" w:themeColor="accent1" w:themeShade="BF"/>
          <w:lang w:val="de-DE"/>
        </w:rPr>
      </w:pPr>
      <w:r>
        <w:rPr>
          <w:b/>
          <w:color w:val="2F5496" w:themeColor="accent1" w:themeShade="BF"/>
          <w:lang w:val="de-DE"/>
        </w:rPr>
        <w:t xml:space="preserve">M6 </w:t>
      </w:r>
      <w:r w:rsidR="001C64DD" w:rsidRPr="0021306B">
        <w:rPr>
          <w:b/>
          <w:color w:val="2F5496" w:themeColor="accent1" w:themeShade="BF"/>
          <w:lang w:val="de-DE"/>
        </w:rPr>
        <w:t>QUELLE</w:t>
      </w:r>
      <w:r w:rsidR="001C64DD">
        <w:rPr>
          <w:b/>
          <w:color w:val="2F5496" w:themeColor="accent1" w:themeShade="BF"/>
          <w:lang w:val="de-DE"/>
        </w:rPr>
        <w:t>: Wirtschaft</w:t>
      </w:r>
    </w:p>
    <w:p w14:paraId="5C614BE8" w14:textId="34857167" w:rsidR="0079431A" w:rsidRDefault="0079431A" w:rsidP="0079431A">
      <w:pPr>
        <w:jc w:val="both"/>
        <w:rPr>
          <w:bCs/>
          <w:lang w:val="de-DE"/>
        </w:rPr>
      </w:pPr>
      <w:r>
        <w:rPr>
          <w:bCs/>
          <w:i/>
          <w:lang w:val="de-DE"/>
        </w:rPr>
        <w:t xml:space="preserve">Im frühen Mittelalter wurden Siegel fast ausschließlich von kirchlichen und weltlichen Fürsten verwendet, um wichtige Urkunden damit zu „besiegeln“. Im Verlauf des Hoch- und Spätmittelalters fanden Siegel auch immer mehr im Alltag Anwendung, beispielsweise um Verträge und andere wichtige Dokumente damit zu versehen. </w:t>
      </w:r>
      <w:r w:rsidR="0053680E">
        <w:rPr>
          <w:bCs/>
          <w:i/>
        </w:rPr>
        <w:t>Diese ursprünglich christliche Praxis wurde auch von Juden im Umgang mit ihren christlichen Geschäftspartnern übernommen. Das folgende Siegel stammt aus dem Jahr 1297 aus Regensburg und stellt damit das älteste erhaltene jüdische Siegel dar. Die hebräische Umschrift weist auf den jüdischen Besitzer hin, die Symbole im Siegelbild (Halbmond, Stern, Vogel und sogar der Judenhut) finden sich auch auf zeitgenössischen christlichen Siegeln.</w:t>
      </w:r>
    </w:p>
    <w:p w14:paraId="48F1DB32" w14:textId="77777777" w:rsidR="00A144E3" w:rsidRPr="00895D33" w:rsidRDefault="00A144E3" w:rsidP="0079431A">
      <w:pPr>
        <w:jc w:val="both"/>
        <w:rPr>
          <w:bCs/>
          <w:lang w:val="de-DE"/>
        </w:rPr>
      </w:pPr>
    </w:p>
    <w:p w14:paraId="1D2B04D7" w14:textId="18674B3A" w:rsidR="00D23832" w:rsidRPr="00D23832" w:rsidRDefault="004E3A90" w:rsidP="00D23832">
      <w:pPr>
        <w:rPr>
          <w:rFonts w:eastAsiaTheme="minorEastAsia"/>
          <w:color w:val="000000" w:themeColor="text1"/>
          <w:kern w:val="24"/>
          <w:lang w:val="de-DE"/>
        </w:rPr>
      </w:pPr>
      <w:r w:rsidRPr="00D23832">
        <w:rPr>
          <w:b/>
          <w:noProof/>
          <w:color w:val="2F5496" w:themeColor="accent1" w:themeShade="BF"/>
        </w:rPr>
        <w:drawing>
          <wp:anchor distT="0" distB="0" distL="114300" distR="114300" simplePos="0" relativeHeight="251671552" behindDoc="0" locked="0" layoutInCell="1" allowOverlap="1" wp14:anchorId="4116B4C8" wp14:editId="541759BD">
            <wp:simplePos x="0" y="0"/>
            <wp:positionH relativeFrom="margin">
              <wp:align>left</wp:align>
            </wp:positionH>
            <wp:positionV relativeFrom="paragraph">
              <wp:posOffset>11430</wp:posOffset>
            </wp:positionV>
            <wp:extent cx="3527425" cy="3562350"/>
            <wp:effectExtent l="0" t="0" r="0" b="0"/>
            <wp:wrapSquare wrapText="bothSides"/>
            <wp:docPr id="4" name="Inhaltsplatzhalter 3">
              <a:extLst xmlns:a="http://schemas.openxmlformats.org/drawingml/2006/main">
                <a:ext uri="{FF2B5EF4-FFF2-40B4-BE49-F238E27FC236}">
                  <a16:creationId xmlns:a16="http://schemas.microsoft.com/office/drawing/2014/main" id="{6E4AD847-8AFB-479E-A4E0-3BBFEE805E3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a:extLst>
                        <a:ext uri="{FF2B5EF4-FFF2-40B4-BE49-F238E27FC236}">
                          <a16:creationId xmlns:a16="http://schemas.microsoft.com/office/drawing/2014/main" id="{6E4AD847-8AFB-479E-A4E0-3BBFEE805E38}"/>
                        </a:ext>
                      </a:extLst>
                    </pic:cNvPr>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31413" cy="3566066"/>
                    </a:xfrm>
                    <a:prstGeom prst="rect">
                      <a:avLst/>
                    </a:prstGeom>
                  </pic:spPr>
                </pic:pic>
              </a:graphicData>
            </a:graphic>
            <wp14:sizeRelH relativeFrom="margin">
              <wp14:pctWidth>0</wp14:pctWidth>
            </wp14:sizeRelH>
            <wp14:sizeRelV relativeFrom="margin">
              <wp14:pctHeight>0</wp14:pctHeight>
            </wp14:sizeRelV>
          </wp:anchor>
        </w:drawing>
      </w:r>
      <w:r w:rsidR="00A144E3" w:rsidRPr="00D23832">
        <w:rPr>
          <w:b/>
          <w:noProof/>
          <w:color w:val="2F5496" w:themeColor="accent1" w:themeShade="BF"/>
        </w:rPr>
        <mc:AlternateContent>
          <mc:Choice Requires="wps">
            <w:drawing>
              <wp:anchor distT="0" distB="0" distL="114300" distR="114300" simplePos="0" relativeHeight="251670528" behindDoc="0" locked="0" layoutInCell="1" allowOverlap="1" wp14:anchorId="3630981C" wp14:editId="04196EDA">
                <wp:simplePos x="0" y="0"/>
                <wp:positionH relativeFrom="margin">
                  <wp:posOffset>3528492</wp:posOffset>
                </wp:positionH>
                <wp:positionV relativeFrom="paragraph">
                  <wp:posOffset>292735</wp:posOffset>
                </wp:positionV>
                <wp:extent cx="2169041" cy="262270"/>
                <wp:effectExtent l="0" t="0" r="0" b="0"/>
                <wp:wrapNone/>
                <wp:docPr id="5" name="Textfeld 4">
                  <a:extLst xmlns:a="http://schemas.openxmlformats.org/drawingml/2006/main">
                    <a:ext uri="{FF2B5EF4-FFF2-40B4-BE49-F238E27FC236}">
                      <a16:creationId xmlns:a16="http://schemas.microsoft.com/office/drawing/2014/main" id="{D876569A-354E-4246-B248-D36C8BA948ED}"/>
                    </a:ext>
                  </a:extLst>
                </wp:docPr>
                <wp:cNvGraphicFramePr/>
                <a:graphic xmlns:a="http://schemas.openxmlformats.org/drawingml/2006/main">
                  <a:graphicData uri="http://schemas.microsoft.com/office/word/2010/wordprocessingShape">
                    <wps:wsp>
                      <wps:cNvSpPr txBox="1"/>
                      <wps:spPr>
                        <a:xfrm>
                          <a:off x="0" y="0"/>
                          <a:ext cx="2169041" cy="262270"/>
                        </a:xfrm>
                        <a:prstGeom prst="rect">
                          <a:avLst/>
                        </a:prstGeom>
                        <a:noFill/>
                      </wps:spPr>
                      <wps:txbx>
                        <w:txbxContent>
                          <w:p w14:paraId="143C3C4F" w14:textId="77777777" w:rsidR="008A212B" w:rsidRPr="00D23832" w:rsidRDefault="008A212B" w:rsidP="008A212B">
                            <w:pPr>
                              <w:rPr>
                                <w:rFonts w:ascii="David" w:hAnsi="David" w:cs="David"/>
                                <w:color w:val="000000" w:themeColor="text1"/>
                                <w:kern w:val="24"/>
                                <w:lang w:bidi="he-IL"/>
                              </w:rPr>
                            </w:pPr>
                            <w:r w:rsidRPr="00D23832">
                              <w:rPr>
                                <w:rFonts w:ascii="David" w:hAnsi="David" w:cs="David" w:hint="cs"/>
                                <w:color w:val="000000" w:themeColor="text1"/>
                                <w:kern w:val="24"/>
                                <w:rtl/>
                                <w:lang w:bidi="he-IL"/>
                              </w:rPr>
                              <w:t xml:space="preserve">חותם שיש לפטר ב''ר משה הלוי נ''ע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630981C" id="_x0000_t202" coordsize="21600,21600" o:spt="202" path="m,l,21600r21600,l21600,xe">
                <v:stroke joinstyle="miter"/>
                <v:path gradientshapeok="t" o:connecttype="rect"/>
              </v:shapetype>
              <v:shape id="Textfeld 4" o:spid="_x0000_s1026" type="#_x0000_t202" style="position:absolute;margin-left:277.85pt;margin-top:23.05pt;width:170.8pt;height:2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" filled="f" stroked="f">
                <v:textbox>
                  <w:txbxContent>
                    <w:p w14:paraId="143C3C4F" w14:textId="77777777" w:rsidR="008A212B" w:rsidRPr="00D23832" w:rsidRDefault="008A212B" w:rsidP="008A212B">
                      <w:pPr>
                        <w:rPr>
                          <w:rFonts w:ascii="David" w:hAnsi="David" w:cs="David"/>
                          <w:color w:val="000000" w:themeColor="text1"/>
                          <w:kern w:val="24"/>
                          <w:lang w:bidi="he-IL"/>
                        </w:rPr>
                      </w:pPr>
                      <w:r w:rsidRPr="00D23832">
                        <w:rPr>
                          <w:rFonts w:ascii="David" w:hAnsi="David" w:cs="David" w:hint="cs"/>
                          <w:color w:val="000000" w:themeColor="text1"/>
                          <w:kern w:val="24"/>
                          <w:rtl/>
                          <w:lang w:bidi="he-IL"/>
                        </w:rPr>
                        <w:t xml:space="preserve">חותם שיש לפטר ב''ר משה הלוי נ''ע </w:t>
                      </w:r>
                    </w:p>
                  </w:txbxContent>
                </v:textbox>
                <w10:wrap anchorx="margin"/>
              </v:shape>
            </w:pict>
          </mc:Fallback>
        </mc:AlternateContent>
      </w:r>
      <w:r w:rsidR="008A212B" w:rsidRPr="00D23832">
        <w:rPr>
          <w:b/>
          <w:lang w:val="de-DE"/>
        </w:rPr>
        <w:t>Umschrift</w:t>
      </w:r>
      <w:r w:rsidR="005A7EA8">
        <w:rPr>
          <w:b/>
          <w:lang w:val="de-DE"/>
        </w:rPr>
        <w:t>:</w:t>
      </w:r>
    </w:p>
    <w:p w14:paraId="645353D8" w14:textId="77777777" w:rsidR="00D23832" w:rsidRPr="00D23832" w:rsidRDefault="00D23832" w:rsidP="00D23832">
      <w:pPr>
        <w:rPr>
          <w:rFonts w:eastAsiaTheme="minorEastAsia"/>
          <w:color w:val="000000" w:themeColor="text1"/>
          <w:kern w:val="24"/>
          <w:lang w:val="de-DE"/>
        </w:rPr>
      </w:pPr>
    </w:p>
    <w:p w14:paraId="4B75BFE4" w14:textId="5CD2C459" w:rsidR="00D23832" w:rsidRPr="00D23832" w:rsidRDefault="00D23832" w:rsidP="00D23832">
      <w:pPr>
        <w:rPr>
          <w:rFonts w:eastAsiaTheme="minorEastAsia"/>
          <w:b/>
          <w:bCs/>
          <w:color w:val="000000" w:themeColor="text1"/>
          <w:kern w:val="24"/>
          <w:lang w:val="de-DE"/>
        </w:rPr>
      </w:pPr>
      <w:r w:rsidRPr="00D23832">
        <w:rPr>
          <w:rFonts w:eastAsiaTheme="minorEastAsia"/>
          <w:b/>
          <w:bCs/>
          <w:color w:val="000000" w:themeColor="text1"/>
          <w:kern w:val="24"/>
          <w:lang w:val="de-DE"/>
        </w:rPr>
        <w:t>Übersetzung:</w:t>
      </w:r>
    </w:p>
    <w:p w14:paraId="7E5C4418" w14:textId="1E089CD8" w:rsidR="00D23832" w:rsidRPr="00D23832" w:rsidRDefault="00D23832" w:rsidP="00D23832">
      <w:pPr>
        <w:rPr>
          <w:bCs/>
        </w:rPr>
      </w:pPr>
      <w:r w:rsidRPr="00D23832">
        <w:rPr>
          <w:rFonts w:eastAsiaTheme="minorEastAsia"/>
          <w:color w:val="000000" w:themeColor="text1"/>
          <w:kern w:val="24"/>
          <w:lang w:val="de-DE"/>
        </w:rPr>
        <w:t>„</w:t>
      </w:r>
      <w:r w:rsidRPr="00D23832">
        <w:rPr>
          <w:bCs/>
          <w:lang w:val="de-DE"/>
        </w:rPr>
        <w:t>Siegel, gehörend zu Peter, Sohn Herrn Mosches haLevi, möge seine Seele im Garten Eden ruhen</w:t>
      </w:r>
      <w:r>
        <w:rPr>
          <w:bCs/>
          <w:lang w:val="de-DE"/>
        </w:rPr>
        <w:t>“</w:t>
      </w:r>
    </w:p>
    <w:p w14:paraId="22CD883F" w14:textId="34AD395E" w:rsidR="008A212B" w:rsidRPr="00D23832" w:rsidRDefault="008A212B" w:rsidP="001C64DD">
      <w:pPr>
        <w:rPr>
          <w:bCs/>
        </w:rPr>
      </w:pPr>
    </w:p>
    <w:p w14:paraId="256A7999" w14:textId="2387FD45" w:rsidR="008A212B" w:rsidRDefault="008A212B" w:rsidP="008A212B">
      <w:pPr>
        <w:tabs>
          <w:tab w:val="left" w:pos="5460"/>
        </w:tabs>
        <w:rPr>
          <w:b/>
          <w:color w:val="2F5496" w:themeColor="accent1" w:themeShade="BF"/>
          <w:lang w:val="de-DE"/>
        </w:rPr>
      </w:pPr>
      <w:r>
        <w:rPr>
          <w:b/>
          <w:color w:val="2F5496" w:themeColor="accent1" w:themeShade="BF"/>
          <w:lang w:val="de-DE"/>
        </w:rPr>
        <w:tab/>
      </w:r>
    </w:p>
    <w:p w14:paraId="7D40E483" w14:textId="790074F3" w:rsidR="001C64DD" w:rsidRDefault="001C64DD" w:rsidP="00E34002">
      <w:pPr>
        <w:rPr>
          <w:noProof/>
        </w:rPr>
      </w:pPr>
    </w:p>
    <w:p w14:paraId="4861EE7B" w14:textId="1E7CBC72" w:rsidR="00E34002" w:rsidRPr="00E34002" w:rsidRDefault="00E34002" w:rsidP="00E34002"/>
    <w:p w14:paraId="5C053DC5" w14:textId="77777777" w:rsidR="000B6DF3" w:rsidRDefault="000B6DF3" w:rsidP="007B2ABC">
      <w:pPr>
        <w:rPr>
          <w:sz w:val="20"/>
          <w:szCs w:val="20"/>
          <w:lang w:val="de-DE"/>
        </w:rPr>
      </w:pPr>
    </w:p>
    <w:p w14:paraId="1B13D22C" w14:textId="57A12495" w:rsidR="007B2ABC" w:rsidRPr="000B681B" w:rsidRDefault="004E3A90" w:rsidP="007B2ABC">
      <w:pPr>
        <w:rPr>
          <w:sz w:val="18"/>
          <w:szCs w:val="18"/>
          <w:lang w:val="de-DE"/>
        </w:rPr>
      </w:pPr>
      <w:r w:rsidRPr="000B681B">
        <w:rPr>
          <w:sz w:val="18"/>
          <w:szCs w:val="18"/>
          <w:lang w:val="de-DE"/>
        </w:rPr>
        <w:t>Abb. 3</w:t>
      </w:r>
      <w:r w:rsidR="00FA4AE0" w:rsidRPr="000B681B">
        <w:rPr>
          <w:sz w:val="18"/>
          <w:szCs w:val="18"/>
          <w:lang w:val="de-DE"/>
        </w:rPr>
        <w:t xml:space="preserve"> </w:t>
      </w:r>
      <w:r w:rsidRPr="000B681B">
        <w:rPr>
          <w:sz w:val="18"/>
          <w:szCs w:val="18"/>
          <w:lang w:val="de-DE"/>
        </w:rPr>
        <w:t>(</w:t>
      </w:r>
      <w:r w:rsidR="003B67D5" w:rsidRPr="000B681B">
        <w:rPr>
          <w:sz w:val="18"/>
          <w:szCs w:val="18"/>
          <w:lang w:val="de-DE"/>
        </w:rPr>
        <w:t>Wien, HHStA, AUR 1297 V 1, hebr.</w:t>
      </w:r>
      <w:r w:rsidR="00E1577D" w:rsidRPr="000B681B">
        <w:rPr>
          <w:sz w:val="18"/>
          <w:szCs w:val="18"/>
          <w:lang w:val="de-DE"/>
        </w:rPr>
        <w:t>)</w:t>
      </w:r>
    </w:p>
    <w:p w14:paraId="2F3676E0" w14:textId="77777777" w:rsidR="004824FC" w:rsidRDefault="004824FC" w:rsidP="004824FC">
      <w:pPr>
        <w:spacing w:after="160" w:line="259" w:lineRule="auto"/>
        <w:rPr>
          <w:b/>
          <w:color w:val="2F5496" w:themeColor="accent1" w:themeShade="BF"/>
          <w:lang w:val="de-DE"/>
        </w:rPr>
      </w:pPr>
    </w:p>
    <w:p w14:paraId="43EE05CF" w14:textId="77777777" w:rsidR="00A7593D" w:rsidRDefault="00A7593D">
      <w:pPr>
        <w:spacing w:after="160" w:line="259" w:lineRule="auto"/>
        <w:rPr>
          <w:b/>
          <w:color w:val="2F5496" w:themeColor="accent1" w:themeShade="BF"/>
          <w:lang w:val="de-DE"/>
        </w:rPr>
      </w:pPr>
      <w:r>
        <w:rPr>
          <w:b/>
          <w:color w:val="2F5496" w:themeColor="accent1" w:themeShade="BF"/>
          <w:lang w:val="de-DE"/>
        </w:rPr>
        <w:br w:type="page"/>
      </w:r>
    </w:p>
    <w:p w14:paraId="45133F2E" w14:textId="77777777" w:rsidR="00A7593D" w:rsidRDefault="00A7593D" w:rsidP="004824FC">
      <w:pPr>
        <w:spacing w:after="160" w:line="259" w:lineRule="auto"/>
        <w:rPr>
          <w:b/>
          <w:color w:val="2F5496" w:themeColor="accent1" w:themeShade="BF"/>
          <w:lang w:val="de-DE"/>
        </w:rPr>
      </w:pPr>
    </w:p>
    <w:p w14:paraId="6617C7A9" w14:textId="1D619EBB" w:rsidR="00F95B02" w:rsidRDefault="00B14865" w:rsidP="004824FC">
      <w:pPr>
        <w:spacing w:after="160" w:line="259" w:lineRule="auto"/>
        <w:rPr>
          <w:b/>
          <w:color w:val="2F5496" w:themeColor="accent1" w:themeShade="BF"/>
          <w:lang w:val="de-DE"/>
        </w:rPr>
      </w:pPr>
      <w:r>
        <w:rPr>
          <w:b/>
          <w:color w:val="2F5496" w:themeColor="accent1" w:themeShade="BF"/>
          <w:lang w:val="de-DE"/>
        </w:rPr>
        <w:t xml:space="preserve">M7 </w:t>
      </w:r>
      <w:r w:rsidR="00F95B02" w:rsidRPr="0021306B">
        <w:rPr>
          <w:b/>
          <w:color w:val="2F5496" w:themeColor="accent1" w:themeShade="BF"/>
          <w:lang w:val="de-DE"/>
        </w:rPr>
        <w:t>QUELLE</w:t>
      </w:r>
      <w:r w:rsidR="00F95B02">
        <w:rPr>
          <w:b/>
          <w:color w:val="2F5496" w:themeColor="accent1" w:themeShade="BF"/>
          <w:lang w:val="de-DE"/>
        </w:rPr>
        <w:t>: Verfolgung</w:t>
      </w:r>
    </w:p>
    <w:p w14:paraId="41BE7A2B" w14:textId="29FF48C7" w:rsidR="00EC2561" w:rsidRDefault="00AA0A01" w:rsidP="00A723F0">
      <w:pPr>
        <w:jc w:val="both"/>
        <w:rPr>
          <w:bCs/>
          <w:i/>
          <w:lang w:val="de-DE"/>
        </w:rPr>
      </w:pPr>
      <w:r>
        <w:rPr>
          <w:bCs/>
          <w:i/>
          <w:lang w:val="de-DE"/>
        </w:rPr>
        <w:t xml:space="preserve">Jüdisches Leben im Mittelalter wird häufig mit Verfolgung in Verbindung gebracht, obwohl </w:t>
      </w:r>
      <w:r w:rsidR="00825894">
        <w:rPr>
          <w:bCs/>
          <w:i/>
          <w:lang w:val="de-DE"/>
        </w:rPr>
        <w:t>die Quellen</w:t>
      </w:r>
      <w:r w:rsidR="00393B13">
        <w:rPr>
          <w:bCs/>
          <w:i/>
          <w:lang w:val="de-DE"/>
        </w:rPr>
        <w:t xml:space="preserve"> auch</w:t>
      </w:r>
      <w:r>
        <w:rPr>
          <w:bCs/>
          <w:i/>
          <w:lang w:val="de-DE"/>
        </w:rPr>
        <w:t xml:space="preserve"> von langen gewaltfreien Phasen christlich-jüdischen Zusammenlebens </w:t>
      </w:r>
      <w:r w:rsidR="00825894">
        <w:rPr>
          <w:bCs/>
          <w:i/>
          <w:lang w:val="de-DE"/>
        </w:rPr>
        <w:t>berichten</w:t>
      </w:r>
      <w:r>
        <w:rPr>
          <w:bCs/>
          <w:i/>
          <w:lang w:val="de-DE"/>
        </w:rPr>
        <w:t>.</w:t>
      </w:r>
      <w:r w:rsidR="00EC2561">
        <w:rPr>
          <w:bCs/>
          <w:i/>
          <w:lang w:val="de-DE"/>
        </w:rPr>
        <w:t xml:space="preserve"> </w:t>
      </w:r>
      <w:r w:rsidR="00ED73B1">
        <w:rPr>
          <w:bCs/>
          <w:i/>
          <w:lang w:val="de-DE"/>
        </w:rPr>
        <w:t xml:space="preserve">Mittelalterliche </w:t>
      </w:r>
      <w:r w:rsidR="00EC2561">
        <w:rPr>
          <w:bCs/>
          <w:i/>
          <w:lang w:val="de-DE"/>
        </w:rPr>
        <w:t>Judenverfolgungen setzten erst mit den Kreuzzügen im elften Jahrhundert ein.</w:t>
      </w:r>
      <w:r>
        <w:rPr>
          <w:bCs/>
          <w:i/>
          <w:lang w:val="de-DE"/>
        </w:rPr>
        <w:t xml:space="preserve"> </w:t>
      </w:r>
      <w:r w:rsidR="00EC2561">
        <w:rPr>
          <w:bCs/>
          <w:i/>
          <w:lang w:val="de-DE"/>
        </w:rPr>
        <w:t xml:space="preserve">Salomo bar Simson verfasste über diese Zeit eine Chronik, in der er die Erfahrungen der jüdischen Verfolgten aus ihrer Perspektive schildert. Hier berichtet er über Ereignisse in Köln </w:t>
      </w:r>
      <w:r w:rsidR="00F661AE">
        <w:rPr>
          <w:bCs/>
          <w:i/>
          <w:lang w:val="de-DE"/>
        </w:rPr>
        <w:t>im</w:t>
      </w:r>
      <w:r w:rsidR="00EC2561">
        <w:rPr>
          <w:bCs/>
          <w:i/>
          <w:lang w:val="de-DE"/>
        </w:rPr>
        <w:t xml:space="preserve"> Jahr 1096:</w:t>
      </w:r>
    </w:p>
    <w:p w14:paraId="5755C7F7" w14:textId="38FE0D26" w:rsidR="00D23832" w:rsidRPr="00D23832" w:rsidRDefault="00D23832" w:rsidP="00433B35">
      <w:pPr>
        <w:spacing w:after="0" w:line="360" w:lineRule="auto"/>
        <w:jc w:val="both"/>
        <w:rPr>
          <w:noProof/>
        </w:rPr>
      </w:pPr>
      <w:r w:rsidRPr="00D23832">
        <w:rPr>
          <w:noProof/>
          <w:lang w:val="de-DE"/>
        </w:rPr>
        <w:t>Nun will ich berichten, was die Gemeinde zu Köln getan und wie sie den einzigen und erhabenen Namen heiligte</w:t>
      </w:r>
      <w:r w:rsidR="006B4678">
        <w:rPr>
          <w:noProof/>
          <w:vertAlign w:val="superscript"/>
          <w:lang w:val="de-DE"/>
        </w:rPr>
        <w:t>1</w:t>
      </w:r>
      <w:r w:rsidRPr="00D23832">
        <w:rPr>
          <w:noProof/>
          <w:lang w:val="de-DE"/>
        </w:rPr>
        <w:t xml:space="preserve">: […] </w:t>
      </w:r>
    </w:p>
    <w:p w14:paraId="10E53FA7" w14:textId="5F07E33A" w:rsidR="00D23832" w:rsidRPr="00D23832" w:rsidRDefault="00D23832" w:rsidP="00433B35">
      <w:pPr>
        <w:spacing w:after="0" w:line="360" w:lineRule="auto"/>
        <w:jc w:val="both"/>
        <w:rPr>
          <w:noProof/>
        </w:rPr>
      </w:pPr>
      <w:r w:rsidRPr="00D23832">
        <w:rPr>
          <w:noProof/>
          <w:lang w:val="de-DE"/>
        </w:rPr>
        <w:t xml:space="preserve">Da erhoben sich die Feinde </w:t>
      </w:r>
      <w:r w:rsidR="005728EB">
        <w:rPr>
          <w:noProof/>
          <w:lang w:val="de-DE"/>
        </w:rPr>
        <w:t>gegen</w:t>
      </w:r>
      <w:r w:rsidRPr="00D23832">
        <w:rPr>
          <w:noProof/>
          <w:lang w:val="de-DE"/>
        </w:rPr>
        <w:t xml:space="preserve"> sie, brachen in die Häuser ein, raubten und plünderten; sie zerstörten die Synagoge</w:t>
      </w:r>
      <w:r w:rsidR="006B4678">
        <w:rPr>
          <w:noProof/>
          <w:vertAlign w:val="superscript"/>
          <w:lang w:val="de-DE"/>
        </w:rPr>
        <w:t>2</w:t>
      </w:r>
      <w:r w:rsidRPr="00D23832">
        <w:rPr>
          <w:noProof/>
          <w:lang w:val="de-DE"/>
        </w:rPr>
        <w:t>, rissen Tora-Rollen</w:t>
      </w:r>
      <w:r w:rsidR="006B4678">
        <w:rPr>
          <w:noProof/>
          <w:vertAlign w:val="superscript"/>
          <w:lang w:val="de-DE"/>
        </w:rPr>
        <w:t>3</w:t>
      </w:r>
      <w:r w:rsidRPr="00D23832">
        <w:rPr>
          <w:noProof/>
          <w:lang w:val="de-DE"/>
        </w:rPr>
        <w:t xml:space="preserve"> heraus, gingen übel mit ihnen um und traten sie in den Gassenschmutz. </w:t>
      </w:r>
      <w:r w:rsidR="005614A9">
        <w:rPr>
          <w:noProof/>
          <w:lang w:val="de-DE"/>
        </w:rPr>
        <w:t xml:space="preserve">[…] [Verwegene Übeltäter, Wüteriche] </w:t>
      </w:r>
      <w:r w:rsidRPr="00D23832">
        <w:rPr>
          <w:noProof/>
          <w:lang w:val="de-DE"/>
        </w:rPr>
        <w:t>zerrissen, verbrannten und zertraten sie</w:t>
      </w:r>
      <w:r w:rsidR="005614A9">
        <w:rPr>
          <w:noProof/>
          <w:lang w:val="de-DE"/>
        </w:rPr>
        <w:t xml:space="preserve">, </w:t>
      </w:r>
      <w:r w:rsidRPr="00D23832">
        <w:rPr>
          <w:noProof/>
          <w:lang w:val="de-DE"/>
        </w:rPr>
        <w:t xml:space="preserve">kamen hinein und entweihten sie. </w:t>
      </w:r>
      <w:r w:rsidR="005614A9">
        <w:rPr>
          <w:noProof/>
          <w:lang w:val="de-DE"/>
        </w:rPr>
        <w:t>[…]</w:t>
      </w:r>
      <w:r w:rsidRPr="00D23832">
        <w:rPr>
          <w:noProof/>
          <w:lang w:val="de-DE"/>
        </w:rPr>
        <w:t xml:space="preserve"> Wie lange noch willst Du</w:t>
      </w:r>
      <w:r w:rsidR="005614A9">
        <w:rPr>
          <w:noProof/>
          <w:vertAlign w:val="superscript"/>
          <w:lang w:val="de-DE"/>
        </w:rPr>
        <w:t>4</w:t>
      </w:r>
      <w:r w:rsidRPr="00D23832">
        <w:rPr>
          <w:noProof/>
          <w:lang w:val="de-DE"/>
        </w:rPr>
        <w:t xml:space="preserve"> schweigend zusehen, wie der Frevler verdirbt?! Sieh, Ewiger</w:t>
      </w:r>
      <w:r w:rsidR="009E460E">
        <w:rPr>
          <w:noProof/>
          <w:vertAlign w:val="superscript"/>
          <w:lang w:val="de-DE"/>
        </w:rPr>
        <w:t>4</w:t>
      </w:r>
      <w:r w:rsidRPr="00D23832">
        <w:rPr>
          <w:noProof/>
          <w:lang w:val="de-DE"/>
        </w:rPr>
        <w:t>, und schau, her, wie erniedrigt ich bin!</w:t>
      </w:r>
    </w:p>
    <w:p w14:paraId="0662E129" w14:textId="3A243A50" w:rsidR="00D23832" w:rsidRDefault="00D23832" w:rsidP="00433B35">
      <w:pPr>
        <w:spacing w:after="0" w:line="360" w:lineRule="auto"/>
        <w:jc w:val="both"/>
        <w:rPr>
          <w:noProof/>
          <w:lang w:val="de-DE"/>
        </w:rPr>
      </w:pPr>
      <w:r w:rsidRPr="00D23832">
        <w:rPr>
          <w:noProof/>
          <w:lang w:val="de-DE"/>
        </w:rPr>
        <w:t>Und an jenem Tag fanden sie einen Frommen names Mar Isaak bar Elijakim</w:t>
      </w:r>
      <w:r w:rsidR="004465D0">
        <w:rPr>
          <w:noProof/>
          <w:lang w:val="de-DE"/>
        </w:rPr>
        <w:t>.</w:t>
      </w:r>
      <w:r w:rsidRPr="00D23832">
        <w:rPr>
          <w:noProof/>
          <w:lang w:val="de-DE"/>
        </w:rPr>
        <w:t xml:space="preserve"> </w:t>
      </w:r>
      <w:r w:rsidR="004465D0">
        <w:rPr>
          <w:noProof/>
          <w:lang w:val="de-DE"/>
        </w:rPr>
        <w:t>Als</w:t>
      </w:r>
      <w:r w:rsidRPr="00D23832">
        <w:rPr>
          <w:noProof/>
          <w:lang w:val="de-DE"/>
        </w:rPr>
        <w:t xml:space="preserve"> er aus seinem Hause trat, ergriffen ihn die Feinde und führten i</w:t>
      </w:r>
      <w:r w:rsidR="004465D0">
        <w:rPr>
          <w:noProof/>
          <w:lang w:val="de-DE"/>
        </w:rPr>
        <w:t>h</w:t>
      </w:r>
      <w:r w:rsidRPr="00D23832">
        <w:rPr>
          <w:noProof/>
          <w:lang w:val="de-DE"/>
        </w:rPr>
        <w:t>n hinaus zum Haus ihrer Schmach, da spuckte er ihnen ins Gesicht und dies vor ihrem Götzendienst, schmähte und beschimpfte sie, so dass sie ihn</w:t>
      </w:r>
      <w:r w:rsidR="004824FC">
        <w:rPr>
          <w:noProof/>
          <w:lang w:val="de-DE"/>
        </w:rPr>
        <w:t xml:space="preserve"> </w:t>
      </w:r>
      <w:r w:rsidRPr="00D23832">
        <w:rPr>
          <w:noProof/>
          <w:lang w:val="de-DE"/>
        </w:rPr>
        <w:t xml:space="preserve">zur Heiligung des </w:t>
      </w:r>
      <w:r w:rsidR="004465D0">
        <w:rPr>
          <w:noProof/>
          <w:lang w:val="de-DE"/>
        </w:rPr>
        <w:t>N</w:t>
      </w:r>
      <w:r w:rsidRPr="00D23832">
        <w:rPr>
          <w:noProof/>
          <w:lang w:val="de-DE"/>
        </w:rPr>
        <w:t>amens</w:t>
      </w:r>
      <w:r w:rsidR="006B4678">
        <w:rPr>
          <w:noProof/>
          <w:vertAlign w:val="superscript"/>
          <w:lang w:val="de-DE"/>
        </w:rPr>
        <w:t>1</w:t>
      </w:r>
      <w:r w:rsidRPr="00D23832">
        <w:rPr>
          <w:noProof/>
          <w:lang w:val="de-DE"/>
        </w:rPr>
        <w:t xml:space="preserve"> töteten, er hatte nämlich nicht fliehen wollen aus Ehrfurcht vor dem Wochenfest</w:t>
      </w:r>
      <w:r w:rsidR="00B24D96">
        <w:rPr>
          <w:noProof/>
          <w:vertAlign w:val="superscript"/>
          <w:lang w:val="de-DE"/>
        </w:rPr>
        <w:t>5</w:t>
      </w:r>
      <w:r w:rsidR="004465D0">
        <w:rPr>
          <w:noProof/>
          <w:lang w:val="de-DE"/>
        </w:rPr>
        <w:t xml:space="preserve"> und</w:t>
      </w:r>
      <w:r w:rsidRPr="00D23832">
        <w:rPr>
          <w:noProof/>
          <w:lang w:val="de-DE"/>
        </w:rPr>
        <w:t xml:space="preserve"> auch weil er sich freute, das himmlische Urteil auf sich zu nehmen.</w:t>
      </w:r>
    </w:p>
    <w:p w14:paraId="32D7E8C8" w14:textId="79B6DFAF" w:rsidR="00D23832" w:rsidRPr="00D23832" w:rsidRDefault="00D23832" w:rsidP="00433B35">
      <w:pPr>
        <w:spacing w:after="0" w:line="360" w:lineRule="auto"/>
        <w:jc w:val="both"/>
        <w:rPr>
          <w:noProof/>
        </w:rPr>
      </w:pPr>
      <w:r w:rsidRPr="00D23832">
        <w:rPr>
          <w:noProof/>
          <w:lang w:val="de-DE"/>
        </w:rPr>
        <w:t>Und auch eine angesehene Frau fanden sie dort namens Rebekka. Als sie aus dem Hause trat, tra</w:t>
      </w:r>
      <w:r w:rsidR="000B02B8">
        <w:rPr>
          <w:noProof/>
          <w:lang w:val="de-DE"/>
        </w:rPr>
        <w:t>f</w:t>
      </w:r>
      <w:r w:rsidRPr="00D23832">
        <w:rPr>
          <w:noProof/>
          <w:lang w:val="de-DE"/>
        </w:rPr>
        <w:t>en die Feinde sie an mit goldenen und silbernen Geräten</w:t>
      </w:r>
      <w:r w:rsidR="00B24D96">
        <w:rPr>
          <w:noProof/>
          <w:vertAlign w:val="superscript"/>
          <w:lang w:val="de-DE"/>
        </w:rPr>
        <w:t>6</w:t>
      </w:r>
      <w:r w:rsidRPr="00D23832">
        <w:rPr>
          <w:noProof/>
          <w:lang w:val="de-DE"/>
        </w:rPr>
        <w:t xml:space="preserve"> in den Ärmeln, die wollte sie zu ihrem Mann, R</w:t>
      </w:r>
      <w:r w:rsidR="000B02B8">
        <w:rPr>
          <w:noProof/>
          <w:lang w:val="de-DE"/>
        </w:rPr>
        <w:t>abbi</w:t>
      </w:r>
      <w:r w:rsidR="00B24D96">
        <w:rPr>
          <w:noProof/>
          <w:vertAlign w:val="superscript"/>
          <w:lang w:val="de-DE"/>
        </w:rPr>
        <w:t>7</w:t>
      </w:r>
      <w:r w:rsidRPr="00D23832">
        <w:rPr>
          <w:noProof/>
          <w:lang w:val="de-DE"/>
        </w:rPr>
        <w:t xml:space="preserve"> Salomo, bringen, denn der hatte sich bereits aus seinem Hause zu einem christlichen Bekannten begeben; da nahmen sie ihr die Kostbarkeiten weg und töteten sie. Dort starb diese Gerechte in Heiligkeit und noch eine</w:t>
      </w:r>
      <w:r w:rsidR="000B02B8">
        <w:rPr>
          <w:noProof/>
          <w:lang w:val="de-DE"/>
        </w:rPr>
        <w:t xml:space="preserve"> weitere</w:t>
      </w:r>
      <w:r w:rsidRPr="00D23832">
        <w:rPr>
          <w:noProof/>
          <w:lang w:val="de-DE"/>
        </w:rPr>
        <w:t xml:space="preserve"> Frau</w:t>
      </w:r>
      <w:r w:rsidR="000B02B8">
        <w:rPr>
          <w:noProof/>
          <w:lang w:val="de-DE"/>
        </w:rPr>
        <w:t xml:space="preserve"> namens</w:t>
      </w:r>
      <w:r w:rsidRPr="00D23832">
        <w:rPr>
          <w:noProof/>
          <w:lang w:val="de-DE"/>
        </w:rPr>
        <w:t xml:space="preserve"> Madrona. </w:t>
      </w:r>
    </w:p>
    <w:p w14:paraId="200A1E3E" w14:textId="3F7D0B97" w:rsidR="00D23832" w:rsidRPr="00D23832" w:rsidRDefault="00D23832" w:rsidP="00433B35">
      <w:pPr>
        <w:spacing w:after="0" w:line="360" w:lineRule="auto"/>
        <w:jc w:val="both"/>
        <w:rPr>
          <w:noProof/>
        </w:rPr>
      </w:pPr>
      <w:r w:rsidRPr="00D23832">
        <w:rPr>
          <w:noProof/>
          <w:lang w:val="de-DE"/>
        </w:rPr>
        <w:t>Und die übrige Gemeinde wurde gerettet, da sie sich im Haus eines Bekannten befanden, wohin sie geflüchtet waren. Dort hielten sie sich auf, bis sie der Bischof in seine Orte bringen ließ am zehnten</w:t>
      </w:r>
      <w:r w:rsidR="000B02B8">
        <w:rPr>
          <w:noProof/>
          <w:lang w:val="de-DE"/>
        </w:rPr>
        <w:t xml:space="preserve"> Tag</w:t>
      </w:r>
      <w:r w:rsidRPr="00D23832">
        <w:rPr>
          <w:noProof/>
          <w:lang w:val="de-DE"/>
        </w:rPr>
        <w:t xml:space="preserve"> des Monats Siwan</w:t>
      </w:r>
      <w:r w:rsidR="00B24D96">
        <w:rPr>
          <w:noProof/>
          <w:vertAlign w:val="superscript"/>
          <w:lang w:val="de-DE"/>
        </w:rPr>
        <w:t>8</w:t>
      </w:r>
      <w:r w:rsidRPr="00D23832">
        <w:rPr>
          <w:noProof/>
          <w:lang w:val="de-DE"/>
        </w:rPr>
        <w:t xml:space="preserve"> [</w:t>
      </w:r>
      <w:r w:rsidR="000B02B8">
        <w:rPr>
          <w:i/>
          <w:noProof/>
          <w:lang w:val="de-DE"/>
        </w:rPr>
        <w:t xml:space="preserve">Anm.: </w:t>
      </w:r>
      <w:r w:rsidRPr="00D23832">
        <w:rPr>
          <w:noProof/>
          <w:lang w:val="de-DE"/>
        </w:rPr>
        <w:t xml:space="preserve">3. Juni 1096], er verteilte sie über sieben seiner Ortschaften, um sie zu retten. </w:t>
      </w:r>
    </w:p>
    <w:p w14:paraId="716140BE" w14:textId="03D4976B" w:rsidR="004824FC" w:rsidRDefault="00D23832" w:rsidP="00433B35">
      <w:pPr>
        <w:spacing w:after="0" w:line="360" w:lineRule="auto"/>
        <w:jc w:val="both"/>
        <w:rPr>
          <w:noProof/>
          <w:lang w:val="de-DE"/>
        </w:rPr>
      </w:pPr>
      <w:r w:rsidRPr="00D23832">
        <w:rPr>
          <w:noProof/>
          <w:lang w:val="de-DE"/>
        </w:rPr>
        <w:t>Dort waren sie bis zum Neumond des Tamus</w:t>
      </w:r>
      <w:r w:rsidR="00B24D96">
        <w:rPr>
          <w:noProof/>
          <w:vertAlign w:val="superscript"/>
          <w:lang w:val="de-DE"/>
        </w:rPr>
        <w:t>9</w:t>
      </w:r>
      <w:r w:rsidRPr="00D23832">
        <w:rPr>
          <w:noProof/>
          <w:lang w:val="de-DE"/>
        </w:rPr>
        <w:t xml:space="preserve"> [</w:t>
      </w:r>
      <w:r w:rsidR="000B02B8">
        <w:rPr>
          <w:i/>
          <w:noProof/>
          <w:lang w:val="de-DE"/>
        </w:rPr>
        <w:t xml:space="preserve">Anm.: </w:t>
      </w:r>
      <w:r w:rsidRPr="00D23832">
        <w:rPr>
          <w:noProof/>
          <w:lang w:val="de-DE"/>
        </w:rPr>
        <w:t>23.-24. Juni 1096], wobei sie tagtäglich den Tod erwarteten, sie pflegten tagtäglich zu fasten</w:t>
      </w:r>
      <w:r w:rsidR="00D76EC0">
        <w:rPr>
          <w:noProof/>
          <w:vertAlign w:val="superscript"/>
          <w:lang w:val="de-DE"/>
        </w:rPr>
        <w:t>10</w:t>
      </w:r>
      <w:r w:rsidRPr="00D23832">
        <w:rPr>
          <w:noProof/>
          <w:lang w:val="de-DE"/>
        </w:rPr>
        <w:t xml:space="preserve">, auch an den beiden Tagen des Neumondes </w:t>
      </w:r>
      <w:r w:rsidR="0073784C">
        <w:rPr>
          <w:noProof/>
          <w:lang w:val="de-DE"/>
        </w:rPr>
        <w:t xml:space="preserve">des </w:t>
      </w:r>
      <w:r w:rsidRPr="00D23832">
        <w:rPr>
          <w:noProof/>
          <w:lang w:val="de-DE"/>
        </w:rPr>
        <w:t>Tamus, die fielen auf Montag und Dienstag sowie am folgenden Tag. So fasteten sie drei Tage und Nächte ununterbrochen</w:t>
      </w:r>
      <w:r w:rsidR="00AA4D1F">
        <w:rPr>
          <w:noProof/>
          <w:lang w:val="de-DE"/>
        </w:rPr>
        <w:t>.</w:t>
      </w:r>
    </w:p>
    <w:p w14:paraId="7DFA15A3" w14:textId="06AEF1BF" w:rsidR="004824FC" w:rsidRDefault="004824FC" w:rsidP="00433B35">
      <w:pPr>
        <w:spacing w:after="0" w:line="360" w:lineRule="auto"/>
        <w:jc w:val="both"/>
        <w:rPr>
          <w:bCs/>
          <w:sz w:val="20"/>
          <w:szCs w:val="20"/>
          <w:lang w:val="de-DE"/>
        </w:rPr>
      </w:pPr>
      <w:r w:rsidRPr="004824FC">
        <w:rPr>
          <w:bCs/>
          <w:sz w:val="20"/>
          <w:szCs w:val="20"/>
          <w:lang w:val="de-DE"/>
        </w:rPr>
        <w:t xml:space="preserve">(Quellenangabe: </w:t>
      </w:r>
      <w:r w:rsidR="00AA21F0">
        <w:rPr>
          <w:bCs/>
          <w:sz w:val="20"/>
          <w:szCs w:val="20"/>
          <w:lang w:val="de-DE"/>
        </w:rPr>
        <w:t xml:space="preserve">Eva Haverkamp (Hg.), Hebräische Berichte über die Judenverfolgungen während des Ersten Kreuzzugs, Hannover 2005, </w:t>
      </w:r>
      <w:r w:rsidR="00B44131">
        <w:rPr>
          <w:bCs/>
          <w:sz w:val="20"/>
          <w:szCs w:val="20"/>
          <w:lang w:val="de-DE"/>
        </w:rPr>
        <w:t>578 / 49.)</w:t>
      </w:r>
    </w:p>
    <w:p w14:paraId="2A66D7B0" w14:textId="466D3635" w:rsidR="00C05057" w:rsidRDefault="00C05057" w:rsidP="00433B35">
      <w:pPr>
        <w:spacing w:after="0" w:line="360" w:lineRule="auto"/>
        <w:jc w:val="both"/>
        <w:rPr>
          <w:bCs/>
          <w:sz w:val="20"/>
          <w:szCs w:val="20"/>
          <w:lang w:val="de-DE"/>
        </w:rPr>
      </w:pPr>
    </w:p>
    <w:p w14:paraId="61E1FC2B" w14:textId="77777777" w:rsidR="009E460E" w:rsidRDefault="009E460E" w:rsidP="00C05057">
      <w:pPr>
        <w:spacing w:line="360" w:lineRule="auto"/>
        <w:jc w:val="both"/>
        <w:rPr>
          <w:b/>
          <w:lang w:val="de-DE"/>
        </w:rPr>
      </w:pPr>
    </w:p>
    <w:p w14:paraId="3C8344BB" w14:textId="4EE5D324" w:rsidR="00C05057" w:rsidRDefault="00C05057" w:rsidP="00C05057">
      <w:pPr>
        <w:spacing w:line="360" w:lineRule="auto"/>
        <w:jc w:val="both"/>
        <w:rPr>
          <w:b/>
          <w:lang w:val="de-DE"/>
        </w:rPr>
      </w:pPr>
      <w:r w:rsidRPr="005C7362">
        <w:rPr>
          <w:b/>
          <w:lang w:val="de-DE"/>
        </w:rPr>
        <w:t xml:space="preserve">Anmerkungen: </w:t>
      </w:r>
    </w:p>
    <w:p w14:paraId="12F088C3" w14:textId="2610190D" w:rsidR="00C05057" w:rsidRPr="00C05057" w:rsidRDefault="00C05057" w:rsidP="00C05057">
      <w:pPr>
        <w:spacing w:line="240" w:lineRule="auto"/>
        <w:jc w:val="both"/>
        <w:rPr>
          <w:lang w:val="de-DE"/>
        </w:rPr>
      </w:pPr>
      <w:r w:rsidRPr="005C7362">
        <w:rPr>
          <w:b/>
          <w:bCs/>
          <w:lang w:val="de-DE"/>
        </w:rPr>
        <w:t>1</w:t>
      </w:r>
      <w:r>
        <w:rPr>
          <w:lang w:val="de-DE"/>
        </w:rPr>
        <w:t xml:space="preserve"> </w:t>
      </w:r>
      <w:r>
        <w:rPr>
          <w:i/>
          <w:iCs/>
          <w:lang w:val="de-DE"/>
        </w:rPr>
        <w:t xml:space="preserve">„den einzigen und erhabenen Namen heiligen“ </w:t>
      </w:r>
      <w:r>
        <w:rPr>
          <w:iCs/>
          <w:lang w:val="de-DE"/>
        </w:rPr>
        <w:t xml:space="preserve">(Hebr. </w:t>
      </w:r>
      <w:r>
        <w:rPr>
          <w:i/>
          <w:iCs/>
          <w:lang w:val="de-DE"/>
        </w:rPr>
        <w:t>Kiddusch ha Schem</w:t>
      </w:r>
      <w:r>
        <w:rPr>
          <w:iCs/>
          <w:lang w:val="de-DE"/>
        </w:rPr>
        <w:t>):</w:t>
      </w:r>
      <w:r w:rsidR="005852BC">
        <w:rPr>
          <w:iCs/>
          <w:lang w:val="de-DE"/>
        </w:rPr>
        <w:t xml:space="preserve"> </w:t>
      </w:r>
      <w:r w:rsidR="00D211A9">
        <w:rPr>
          <w:iCs/>
          <w:lang w:val="de-DE"/>
        </w:rPr>
        <w:t>Mit dem Ausdruck</w:t>
      </w:r>
      <w:r w:rsidR="00D211A9" w:rsidRPr="00D211A9">
        <w:rPr>
          <w:iCs/>
          <w:lang w:val="de-DE"/>
        </w:rPr>
        <w:t xml:space="preserve"> </w:t>
      </w:r>
      <w:r w:rsidR="00D211A9">
        <w:rPr>
          <w:iCs/>
          <w:lang w:val="de-DE"/>
        </w:rPr>
        <w:t>„</w:t>
      </w:r>
      <w:r w:rsidR="00D211A9" w:rsidRPr="00D211A9">
        <w:rPr>
          <w:iCs/>
          <w:lang w:val="de-DE"/>
        </w:rPr>
        <w:t>Heiligung des Namens (Gottes)</w:t>
      </w:r>
      <w:r w:rsidR="00D211A9">
        <w:rPr>
          <w:iCs/>
          <w:lang w:val="de-DE"/>
        </w:rPr>
        <w:t>“</w:t>
      </w:r>
      <w:r w:rsidR="00D211A9" w:rsidRPr="00D211A9">
        <w:rPr>
          <w:iCs/>
          <w:lang w:val="de-DE"/>
        </w:rPr>
        <w:t xml:space="preserve"> </w:t>
      </w:r>
      <w:r w:rsidR="00D211A9">
        <w:rPr>
          <w:iCs/>
          <w:lang w:val="de-DE"/>
        </w:rPr>
        <w:t>ist</w:t>
      </w:r>
      <w:r w:rsidR="00D211A9" w:rsidRPr="00D211A9">
        <w:rPr>
          <w:iCs/>
          <w:lang w:val="de-DE"/>
        </w:rPr>
        <w:t xml:space="preserve"> das Festhalten am jüdischen Glauben</w:t>
      </w:r>
      <w:r w:rsidR="00D211A9">
        <w:rPr>
          <w:iCs/>
          <w:lang w:val="de-DE"/>
        </w:rPr>
        <w:t xml:space="preserve"> durch Gebet und eine gottgefällige Lebensweise, in Extremsituationen aber auch</w:t>
      </w:r>
      <w:r w:rsidR="00D211A9" w:rsidRPr="00D211A9">
        <w:rPr>
          <w:iCs/>
          <w:lang w:val="de-DE"/>
        </w:rPr>
        <w:t xml:space="preserve"> durch </w:t>
      </w:r>
      <w:r w:rsidR="00D211A9">
        <w:rPr>
          <w:iCs/>
          <w:lang w:val="de-DE"/>
        </w:rPr>
        <w:t>das Erdulden von Leid und Qualen</w:t>
      </w:r>
      <w:r w:rsidR="00D211A9" w:rsidRPr="00D211A9">
        <w:rPr>
          <w:iCs/>
          <w:lang w:val="de-DE"/>
        </w:rPr>
        <w:t xml:space="preserve"> bis hin zum </w:t>
      </w:r>
      <w:r w:rsidR="0053680E">
        <w:rPr>
          <w:iCs/>
          <w:lang w:val="de-DE"/>
        </w:rPr>
        <w:t>Tod</w:t>
      </w:r>
      <w:r w:rsidR="00D211A9" w:rsidRPr="00D211A9">
        <w:rPr>
          <w:iCs/>
          <w:lang w:val="de-DE"/>
        </w:rPr>
        <w:t xml:space="preserve"> </w:t>
      </w:r>
      <w:r w:rsidR="00D211A9">
        <w:rPr>
          <w:iCs/>
          <w:lang w:val="de-DE"/>
        </w:rPr>
        <w:t>gemeint.</w:t>
      </w:r>
    </w:p>
    <w:p w14:paraId="30BB579D" w14:textId="61519DFF" w:rsidR="00C05057" w:rsidRPr="00C05057" w:rsidRDefault="00C05057" w:rsidP="00C05057">
      <w:pPr>
        <w:spacing w:line="240" w:lineRule="auto"/>
        <w:rPr>
          <w:iCs/>
          <w:lang w:val="de-DE"/>
        </w:rPr>
      </w:pPr>
      <w:r w:rsidRPr="005C7362">
        <w:rPr>
          <w:b/>
          <w:bCs/>
          <w:lang w:val="de-DE"/>
        </w:rPr>
        <w:t>2</w:t>
      </w:r>
      <w:r>
        <w:rPr>
          <w:lang w:val="de-DE"/>
        </w:rPr>
        <w:t xml:space="preserve"> </w:t>
      </w:r>
      <w:r>
        <w:rPr>
          <w:i/>
          <w:iCs/>
          <w:lang w:val="de-DE"/>
        </w:rPr>
        <w:t xml:space="preserve">Synagoge: </w:t>
      </w:r>
      <w:r>
        <w:rPr>
          <w:iCs/>
          <w:lang w:val="de-DE"/>
        </w:rPr>
        <w:t>jüdisches Gotteshaus</w:t>
      </w:r>
    </w:p>
    <w:p w14:paraId="1E1CF369" w14:textId="09C0DE1C" w:rsidR="00C05057" w:rsidRPr="00C05057" w:rsidRDefault="00C05057" w:rsidP="00C05057">
      <w:pPr>
        <w:spacing w:line="240" w:lineRule="auto"/>
        <w:rPr>
          <w:iCs/>
          <w:lang w:val="de-DE"/>
        </w:rPr>
      </w:pPr>
      <w:r>
        <w:rPr>
          <w:b/>
          <w:iCs/>
          <w:lang w:val="de-DE"/>
        </w:rPr>
        <w:t xml:space="preserve">3 </w:t>
      </w:r>
      <w:r>
        <w:rPr>
          <w:i/>
          <w:iCs/>
          <w:lang w:val="de-DE"/>
        </w:rPr>
        <w:t xml:space="preserve">Tora-Rollen: </w:t>
      </w:r>
      <w:r>
        <w:rPr>
          <w:iCs/>
          <w:lang w:val="de-DE"/>
        </w:rPr>
        <w:t>Die Tora besteht aus den fünf Büchern Mose und stellt den ältesten Teil der jüdischen Bibel dar. Sie wird bis heute auf Schriftrollen in hebräischer Sprache mit der Hand niedergeschrieben und in einer Synagoge aufbewahrt. Macht der Schreiber einen einzigen Fehler, muss er von vorne beginnen. Darum sind Tora-Rollen sehr kostbar.</w:t>
      </w:r>
    </w:p>
    <w:p w14:paraId="57B2C0A9" w14:textId="5633E82C" w:rsidR="00C05057" w:rsidRPr="0030146B" w:rsidRDefault="00C05057" w:rsidP="00C05057">
      <w:pPr>
        <w:spacing w:line="240" w:lineRule="auto"/>
        <w:rPr>
          <w:iCs/>
          <w:lang w:val="de-DE"/>
        </w:rPr>
      </w:pPr>
      <w:r>
        <w:rPr>
          <w:b/>
          <w:iCs/>
          <w:lang w:val="de-DE"/>
        </w:rPr>
        <w:t xml:space="preserve">4 </w:t>
      </w:r>
      <w:r w:rsidR="0030146B">
        <w:rPr>
          <w:i/>
          <w:iCs/>
          <w:lang w:val="de-DE"/>
        </w:rPr>
        <w:t xml:space="preserve">Du: </w:t>
      </w:r>
      <w:r w:rsidR="0030146B">
        <w:rPr>
          <w:iCs/>
          <w:lang w:val="de-DE"/>
        </w:rPr>
        <w:t>Hier wird Gott angesprochen.</w:t>
      </w:r>
    </w:p>
    <w:p w14:paraId="0583B361" w14:textId="5F8F9026" w:rsidR="0055308C" w:rsidRPr="0055308C" w:rsidRDefault="00C05057" w:rsidP="00C05057">
      <w:pPr>
        <w:spacing w:line="240" w:lineRule="auto"/>
        <w:rPr>
          <w:iCs/>
          <w:lang w:val="de-DE"/>
        </w:rPr>
      </w:pPr>
      <w:r>
        <w:rPr>
          <w:b/>
          <w:iCs/>
          <w:lang w:val="de-DE"/>
        </w:rPr>
        <w:t xml:space="preserve">5 </w:t>
      </w:r>
      <w:r w:rsidR="0055308C">
        <w:rPr>
          <w:i/>
          <w:iCs/>
          <w:lang w:val="de-DE"/>
        </w:rPr>
        <w:t>Wochenfest:</w:t>
      </w:r>
      <w:r w:rsidR="0055308C">
        <w:rPr>
          <w:iCs/>
          <w:lang w:val="de-DE"/>
        </w:rPr>
        <w:t xml:space="preserve"> jüdische Feiertage, die im Mai oder Juni begangen werden</w:t>
      </w:r>
      <w:r w:rsidR="00BF0DD0">
        <w:rPr>
          <w:iCs/>
          <w:lang w:val="de-DE"/>
        </w:rPr>
        <w:t xml:space="preserve"> und an denen an den Empfang der Zehn Gebote am Berg Sinai erinnert wird und auch der Dank für die Ernte gefeiert wird</w:t>
      </w:r>
    </w:p>
    <w:p w14:paraId="7F95F21A" w14:textId="2B798EF6" w:rsidR="00C05057" w:rsidRPr="00B87D6C" w:rsidRDefault="0055308C" w:rsidP="00C05057">
      <w:pPr>
        <w:spacing w:line="240" w:lineRule="auto"/>
        <w:rPr>
          <w:iCs/>
          <w:lang w:val="de-DE"/>
        </w:rPr>
      </w:pPr>
      <w:r>
        <w:rPr>
          <w:b/>
          <w:iCs/>
          <w:lang w:val="de-DE"/>
        </w:rPr>
        <w:t>6</w:t>
      </w:r>
      <w:r>
        <w:rPr>
          <w:iCs/>
          <w:lang w:val="de-DE"/>
        </w:rPr>
        <w:t xml:space="preserve"> </w:t>
      </w:r>
      <w:r w:rsidR="00B87D6C">
        <w:rPr>
          <w:i/>
          <w:iCs/>
          <w:lang w:val="de-DE"/>
        </w:rPr>
        <w:t xml:space="preserve">goldene und silberne Geräte: </w:t>
      </w:r>
      <w:r w:rsidR="00102CA5">
        <w:rPr>
          <w:iCs/>
          <w:lang w:val="de-DE"/>
        </w:rPr>
        <w:t>Damit sind möglicherweise heilige Gegenstände für den Gottesdienst gemeint.</w:t>
      </w:r>
    </w:p>
    <w:p w14:paraId="3675C010" w14:textId="0959ECED" w:rsidR="00C05057" w:rsidRDefault="00065421" w:rsidP="00C05057">
      <w:pPr>
        <w:spacing w:line="240" w:lineRule="auto"/>
        <w:rPr>
          <w:iCs/>
          <w:lang w:val="de-DE"/>
        </w:rPr>
      </w:pPr>
      <w:r>
        <w:rPr>
          <w:b/>
          <w:iCs/>
          <w:lang w:val="de-DE"/>
        </w:rPr>
        <w:t>7</w:t>
      </w:r>
      <w:r w:rsidR="00C05057">
        <w:rPr>
          <w:b/>
          <w:iCs/>
          <w:lang w:val="de-DE"/>
        </w:rPr>
        <w:t xml:space="preserve"> </w:t>
      </w:r>
      <w:r w:rsidR="00DC2FFE">
        <w:rPr>
          <w:i/>
          <w:iCs/>
          <w:lang w:val="de-DE"/>
        </w:rPr>
        <w:t xml:space="preserve">Rabbi: </w:t>
      </w:r>
      <w:r w:rsidR="00DC2FFE">
        <w:rPr>
          <w:iCs/>
          <w:lang w:val="de-DE"/>
        </w:rPr>
        <w:t>jüdischer Religionsgelehrter</w:t>
      </w:r>
    </w:p>
    <w:p w14:paraId="17F5B8AA" w14:textId="749E2970" w:rsidR="00DC2FFE" w:rsidRPr="003D04F3" w:rsidRDefault="00065421" w:rsidP="00C05057">
      <w:pPr>
        <w:spacing w:line="240" w:lineRule="auto"/>
        <w:rPr>
          <w:iCs/>
          <w:lang w:val="de-DE"/>
        </w:rPr>
      </w:pPr>
      <w:r>
        <w:rPr>
          <w:b/>
          <w:bCs/>
          <w:iCs/>
          <w:lang w:val="de-DE"/>
        </w:rPr>
        <w:t>8</w:t>
      </w:r>
      <w:r w:rsidR="00DC2FFE">
        <w:rPr>
          <w:iCs/>
          <w:lang w:val="de-DE"/>
        </w:rPr>
        <w:t xml:space="preserve"> </w:t>
      </w:r>
      <w:r w:rsidR="003D04F3">
        <w:rPr>
          <w:i/>
          <w:iCs/>
          <w:lang w:val="de-DE"/>
        </w:rPr>
        <w:t xml:space="preserve">Siwan: </w:t>
      </w:r>
      <w:r w:rsidR="003D04F3">
        <w:rPr>
          <w:iCs/>
          <w:lang w:val="de-DE"/>
        </w:rPr>
        <w:t>Monat im jüdischen Kalender, fällt meist auf den Mai</w:t>
      </w:r>
    </w:p>
    <w:p w14:paraId="0CC9D340" w14:textId="25A4AF35" w:rsidR="00DC2FFE" w:rsidRDefault="00065421" w:rsidP="00C05057">
      <w:pPr>
        <w:spacing w:line="240" w:lineRule="auto"/>
        <w:rPr>
          <w:iCs/>
          <w:lang w:val="de-DE"/>
        </w:rPr>
      </w:pPr>
      <w:r>
        <w:rPr>
          <w:b/>
          <w:bCs/>
          <w:iCs/>
          <w:lang w:val="de-DE"/>
        </w:rPr>
        <w:t>9</w:t>
      </w:r>
      <w:r w:rsidR="003D04F3">
        <w:rPr>
          <w:iCs/>
          <w:lang w:val="de-DE"/>
        </w:rPr>
        <w:t xml:space="preserve"> </w:t>
      </w:r>
      <w:r w:rsidR="003D04F3">
        <w:rPr>
          <w:i/>
          <w:iCs/>
          <w:lang w:val="de-DE"/>
        </w:rPr>
        <w:t xml:space="preserve">Tamus: </w:t>
      </w:r>
      <w:r w:rsidR="003D04F3">
        <w:rPr>
          <w:iCs/>
          <w:lang w:val="de-DE"/>
        </w:rPr>
        <w:t>Monat im jüdischen Kalender, fällt meist auf Juni oder Juli</w:t>
      </w:r>
    </w:p>
    <w:p w14:paraId="39E25481" w14:textId="045AB5EA" w:rsidR="009A78D7" w:rsidRPr="009A78D7" w:rsidRDefault="009A78D7" w:rsidP="00C05057">
      <w:pPr>
        <w:spacing w:line="240" w:lineRule="auto"/>
        <w:rPr>
          <w:lang w:val="de-DE"/>
        </w:rPr>
      </w:pPr>
      <w:r>
        <w:rPr>
          <w:b/>
          <w:iCs/>
          <w:lang w:val="de-DE"/>
        </w:rPr>
        <w:t xml:space="preserve">10 </w:t>
      </w:r>
      <w:r>
        <w:rPr>
          <w:i/>
          <w:iCs/>
          <w:lang w:val="de-DE"/>
        </w:rPr>
        <w:t xml:space="preserve">fasten: </w:t>
      </w:r>
      <w:r w:rsidR="00435573">
        <w:rPr>
          <w:iCs/>
          <w:lang w:val="de-DE"/>
        </w:rPr>
        <w:t>D</w:t>
      </w:r>
      <w:r w:rsidR="00435573" w:rsidRPr="00435573">
        <w:rPr>
          <w:lang w:val="de-DE"/>
        </w:rPr>
        <w:t>as Fasten</w:t>
      </w:r>
      <w:r w:rsidR="00435573">
        <w:rPr>
          <w:lang w:val="de-DE"/>
        </w:rPr>
        <w:t xml:space="preserve"> spielt</w:t>
      </w:r>
      <w:r w:rsidR="00435573" w:rsidRPr="00435573">
        <w:rPr>
          <w:lang w:val="de-DE"/>
        </w:rPr>
        <w:t xml:space="preserve"> eine bedeutende Rolle in der jüdischen religiösen Tradition. D</w:t>
      </w:r>
      <w:r w:rsidR="00435573">
        <w:rPr>
          <w:lang w:val="de-DE"/>
        </w:rPr>
        <w:t>ie</w:t>
      </w:r>
      <w:r w:rsidR="00435573" w:rsidRPr="00435573">
        <w:rPr>
          <w:lang w:val="de-DE"/>
        </w:rPr>
        <w:t xml:space="preserve"> Fastende</w:t>
      </w:r>
      <w:r w:rsidR="00435573">
        <w:rPr>
          <w:lang w:val="de-DE"/>
        </w:rPr>
        <w:t>n</w:t>
      </w:r>
      <w:r w:rsidR="00435573" w:rsidRPr="00435573">
        <w:rPr>
          <w:lang w:val="de-DE"/>
        </w:rPr>
        <w:t xml:space="preserve"> enth</w:t>
      </w:r>
      <w:r w:rsidR="00435573">
        <w:rPr>
          <w:lang w:val="de-DE"/>
        </w:rPr>
        <w:t>alten</w:t>
      </w:r>
      <w:r w:rsidR="00435573" w:rsidRPr="00435573">
        <w:rPr>
          <w:lang w:val="de-DE"/>
        </w:rPr>
        <w:t xml:space="preserve"> sich dabei jeglichen Essens und Trinkens. </w:t>
      </w:r>
      <w:r w:rsidR="00435573" w:rsidRPr="00435573">
        <w:rPr>
          <w:color w:val="23243A"/>
          <w:shd w:val="clear" w:color="auto" w:fill="FFFFFF"/>
        </w:rPr>
        <w:t>Aus biblischer Sicht soll das Fasten den g</w:t>
      </w:r>
      <w:r w:rsidR="00435573">
        <w:rPr>
          <w:color w:val="23243A"/>
          <w:shd w:val="clear" w:color="auto" w:fill="FFFFFF"/>
          <w:lang w:val="de-DE"/>
        </w:rPr>
        <w:t>ö</w:t>
      </w:r>
      <w:r w:rsidR="00435573" w:rsidRPr="00435573">
        <w:rPr>
          <w:color w:val="23243A"/>
          <w:shd w:val="clear" w:color="auto" w:fill="FFFFFF"/>
        </w:rPr>
        <w:t>ttlichen Zorn besänftigen und den Menschen mit G</w:t>
      </w:r>
      <w:r w:rsidR="00435573">
        <w:rPr>
          <w:color w:val="23243A"/>
          <w:shd w:val="clear" w:color="auto" w:fill="FFFFFF"/>
          <w:lang w:val="de-DE"/>
        </w:rPr>
        <w:t>o</w:t>
      </w:r>
      <w:r w:rsidR="00435573" w:rsidRPr="00435573">
        <w:rPr>
          <w:color w:val="23243A"/>
          <w:shd w:val="clear" w:color="auto" w:fill="FFFFFF"/>
        </w:rPr>
        <w:t>tt versöhnen.</w:t>
      </w:r>
    </w:p>
    <w:p w14:paraId="66C55CBA" w14:textId="77777777" w:rsidR="00C05057" w:rsidRPr="00C05057" w:rsidRDefault="00C05057" w:rsidP="00433B35">
      <w:pPr>
        <w:spacing w:after="0" w:line="360" w:lineRule="auto"/>
        <w:jc w:val="both"/>
        <w:rPr>
          <w:noProof/>
          <w:sz w:val="20"/>
          <w:szCs w:val="20"/>
          <w:lang w:val="de-DE"/>
        </w:rPr>
      </w:pPr>
    </w:p>
    <w:sectPr w:rsidR="00C05057" w:rsidRPr="00C05057" w:rsidSect="008475AF">
      <w:headerReference w:type="default" r:id="rId10"/>
      <w:footerReference w:type="default" r:id="rId1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BF71" w14:textId="77777777" w:rsidR="00715BF8" w:rsidRDefault="00715BF8" w:rsidP="00C5047A">
      <w:pPr>
        <w:spacing w:after="0" w:line="240" w:lineRule="auto"/>
      </w:pPr>
      <w:r>
        <w:separator/>
      </w:r>
    </w:p>
  </w:endnote>
  <w:endnote w:type="continuationSeparator" w:id="0">
    <w:p w14:paraId="5CDD00F2" w14:textId="77777777" w:rsidR="00715BF8" w:rsidRDefault="00715BF8" w:rsidP="00C5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6468" w14:textId="77777777" w:rsidR="00131408" w:rsidRDefault="00131408" w:rsidP="008475AF">
    <w:pPr>
      <w:pStyle w:val="Fuzeile"/>
      <w:jc w:val="center"/>
      <w:rPr>
        <w:color w:val="2F5496" w:themeColor="accent1" w:themeShade="BF"/>
        <w:sz w:val="18"/>
        <w:szCs w:val="18"/>
        <w:lang w:val="de-DE"/>
      </w:rPr>
    </w:pPr>
  </w:p>
  <w:p w14:paraId="52DCA548" w14:textId="18CAF46D" w:rsidR="00C5047A" w:rsidRDefault="008475AF" w:rsidP="003A6EAF">
    <w:pPr>
      <w:pStyle w:val="Fuzeile"/>
      <w:rPr>
        <w:color w:val="2F5496" w:themeColor="accent1" w:themeShade="BF"/>
        <w:sz w:val="16"/>
        <w:szCs w:val="16"/>
        <w:lang w:val="de-DE"/>
      </w:rPr>
    </w:pPr>
    <w:r w:rsidRPr="004C0670">
      <w:rPr>
        <w:noProof/>
        <w:color w:val="2F5496" w:themeColor="accent1" w:themeShade="BF"/>
        <w:sz w:val="16"/>
        <w:szCs w:val="16"/>
        <w:lang w:val="de-DE"/>
      </w:rPr>
      <mc:AlternateContent>
        <mc:Choice Requires="wps">
          <w:drawing>
            <wp:anchor distT="0" distB="0" distL="114300" distR="114300" simplePos="0" relativeHeight="251663360" behindDoc="0" locked="0" layoutInCell="1" allowOverlap="1" wp14:anchorId="7B641885" wp14:editId="1341CE31">
              <wp:simplePos x="0" y="0"/>
              <wp:positionH relativeFrom="page">
                <wp:align>left</wp:align>
              </wp:positionH>
              <wp:positionV relativeFrom="paragraph">
                <wp:posOffset>-112984</wp:posOffset>
              </wp:positionV>
              <wp:extent cx="7538054" cy="45719"/>
              <wp:effectExtent l="0" t="0" r="25400" b="12065"/>
              <wp:wrapNone/>
              <wp:docPr id="27" name="Flussdiagramm: Prozess 27"/>
              <wp:cNvGraphicFramePr/>
              <a:graphic xmlns:a="http://schemas.openxmlformats.org/drawingml/2006/main">
                <a:graphicData uri="http://schemas.microsoft.com/office/word/2010/wordprocessingShape">
                  <wps:wsp>
                    <wps:cNvSpPr/>
                    <wps:spPr>
                      <a:xfrm>
                        <a:off x="0" y="0"/>
                        <a:ext cx="7538054" cy="45719"/>
                      </a:xfrm>
                      <a:prstGeom prst="flowChartProcess">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EF19B" id="_x0000_t109" coordsize="21600,21600" o:spt="109" path="m,l,21600r21600,l21600,xe">
              <v:stroke joinstyle="miter"/>
              <v:path gradientshapeok="t" o:connecttype="rect"/>
            </v:shapetype>
            <v:shape id="Flussdiagramm: Prozess 27" o:spid="_x0000_s1026" type="#_x0000_t109" style="position:absolute;margin-left:0;margin-top:-8.9pt;width:593.55pt;height:3.6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" fillcolor="#2f5496 [2404]" strokecolor="#2f5496 [2404]" strokeweight="1pt">
              <w10:wrap anchorx="page"/>
            </v:shape>
          </w:pict>
        </mc:Fallback>
      </mc:AlternateContent>
    </w:r>
    <w:r w:rsidR="003A6EAF">
      <w:rPr>
        <w:color w:val="2F5496" w:themeColor="accent1" w:themeShade="BF"/>
        <w:sz w:val="16"/>
        <w:szCs w:val="16"/>
        <w:lang w:val="de-DE"/>
      </w:rPr>
      <w:t>E</w:t>
    </w:r>
    <w:r w:rsidR="003A6EAF" w:rsidRPr="004C0670">
      <w:rPr>
        <w:color w:val="2F5496" w:themeColor="accent1" w:themeShade="BF"/>
        <w:sz w:val="16"/>
        <w:szCs w:val="16"/>
        <w:lang w:val="de-DE"/>
      </w:rPr>
      <w:t>ine Kooperation des Lehrstuhls für Jüdische Geschichte und Kultur und der Akademie für Lehrerfortbildung und Personalführung Dillingen</w:t>
    </w:r>
  </w:p>
  <w:p w14:paraId="3D0FB0F8" w14:textId="33105075" w:rsidR="00D94047" w:rsidRPr="0079337A" w:rsidRDefault="00D94047" w:rsidP="003A6EAF">
    <w:pPr>
      <w:pStyle w:val="Fuzeile"/>
      <w:rPr>
        <w:color w:val="2F5496" w:themeColor="accent1" w:themeShade="BF"/>
        <w:sz w:val="16"/>
        <w:szCs w:val="16"/>
        <w:lang w:val="de-DE"/>
      </w:rPr>
    </w:pPr>
    <w:r>
      <w:rPr>
        <w:color w:val="2F5496" w:themeColor="accent1" w:themeShade="BF"/>
        <w:sz w:val="16"/>
        <w:szCs w:val="16"/>
        <w:lang w:val="de-DE"/>
      </w:rPr>
      <w:t>Verantwortlich für die Konzeption des Quellenblattes ist Julia Treindl.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6A8D" w14:textId="77777777" w:rsidR="00715BF8" w:rsidRDefault="00715BF8" w:rsidP="00C5047A">
      <w:pPr>
        <w:spacing w:after="0" w:line="240" w:lineRule="auto"/>
      </w:pPr>
      <w:r>
        <w:separator/>
      </w:r>
    </w:p>
  </w:footnote>
  <w:footnote w:type="continuationSeparator" w:id="0">
    <w:p w14:paraId="4E597C1A" w14:textId="77777777" w:rsidR="00715BF8" w:rsidRDefault="00715BF8" w:rsidP="00C5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8A7D" w14:textId="7C8C86D8" w:rsidR="00C5047A" w:rsidRPr="008475AF" w:rsidRDefault="00C5047A" w:rsidP="00C5047A">
    <w:pPr>
      <w:pStyle w:val="Kopfzeile"/>
      <w:rPr>
        <w:b/>
        <w:bCs/>
        <w:smallCaps/>
        <w:color w:val="2F5496" w:themeColor="accent1" w:themeShade="BF"/>
        <w:sz w:val="26"/>
        <w:szCs w:val="26"/>
        <w:lang w:val="de-DE"/>
      </w:rPr>
    </w:pPr>
    <w:r w:rsidRPr="008475AF">
      <w:rPr>
        <w:b/>
        <w:bCs/>
        <w:smallCaps/>
        <w:noProof/>
        <w:color w:val="2F5496" w:themeColor="accent1" w:themeShade="BF"/>
        <w:sz w:val="26"/>
        <w:szCs w:val="26"/>
      </w:rPr>
      <w:drawing>
        <wp:anchor distT="0" distB="0" distL="114300" distR="114300" simplePos="0" relativeHeight="251660288" behindDoc="0" locked="0" layoutInCell="1" allowOverlap="1" wp14:anchorId="5BF34161" wp14:editId="76BB87EC">
          <wp:simplePos x="0" y="0"/>
          <wp:positionH relativeFrom="margin">
            <wp:align>right</wp:align>
          </wp:positionH>
          <wp:positionV relativeFrom="paragraph">
            <wp:posOffset>-219710</wp:posOffset>
          </wp:positionV>
          <wp:extent cx="858366" cy="631298"/>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8366" cy="631298"/>
                  </a:xfrm>
                  <a:prstGeom prst="rect">
                    <a:avLst/>
                  </a:prstGeom>
                </pic:spPr>
              </pic:pic>
            </a:graphicData>
          </a:graphic>
          <wp14:sizeRelH relativeFrom="margin">
            <wp14:pctWidth>0</wp14:pctWidth>
          </wp14:sizeRelH>
          <wp14:sizeRelV relativeFrom="margin">
            <wp14:pctHeight>0</wp14:pctHeight>
          </wp14:sizeRelV>
        </wp:anchor>
      </w:drawing>
    </w:r>
    <w:r w:rsidRPr="008475AF">
      <w:rPr>
        <w:b/>
        <w:bCs/>
        <w:smallCaps/>
        <w:noProof/>
        <w:color w:val="2F5496" w:themeColor="accent1" w:themeShade="BF"/>
        <w:sz w:val="26"/>
        <w:szCs w:val="26"/>
        <w:lang w:eastAsia="de-DE" w:bidi="he-IL"/>
      </w:rPr>
      <w:drawing>
        <wp:anchor distT="0" distB="0" distL="114300" distR="114300" simplePos="0" relativeHeight="251659264" behindDoc="0" locked="0" layoutInCell="1" allowOverlap="1" wp14:anchorId="08BFADF3" wp14:editId="23833EE4">
          <wp:simplePos x="0" y="0"/>
          <wp:positionH relativeFrom="page">
            <wp:posOffset>6831981</wp:posOffset>
          </wp:positionH>
          <wp:positionV relativeFrom="page">
            <wp:posOffset>200366</wp:posOffset>
          </wp:positionV>
          <wp:extent cx="439811" cy="661639"/>
          <wp:effectExtent l="0" t="0" r="0" b="571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9811" cy="661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5AF">
      <w:rPr>
        <w:b/>
        <w:bCs/>
        <w:smallCaps/>
        <w:color w:val="2F5496" w:themeColor="accent1" w:themeShade="BF"/>
        <w:sz w:val="26"/>
        <w:szCs w:val="26"/>
        <w:lang w:val="de-DE"/>
      </w:rPr>
      <w:t>1700 Jahre Quellen aus der deutsch-jüdischen Geschichte</w:t>
    </w:r>
  </w:p>
  <w:p w14:paraId="5F25D190" w14:textId="34B4EF56" w:rsidR="00C5047A" w:rsidRPr="003556C1" w:rsidRDefault="003556C1" w:rsidP="00C5047A">
    <w:pPr>
      <w:pStyle w:val="Kopfzeile"/>
      <w:rPr>
        <w:color w:val="2F5496" w:themeColor="accent1" w:themeShade="BF"/>
        <w:lang w:val="de-DE"/>
      </w:rPr>
    </w:pPr>
    <w:r w:rsidRPr="003556C1">
      <w:rPr>
        <w:noProof/>
        <w:color w:val="2F5496" w:themeColor="accent1" w:themeShade="BF"/>
        <w:lang w:val="de-DE"/>
      </w:rPr>
      <mc:AlternateContent>
        <mc:Choice Requires="wps">
          <w:drawing>
            <wp:anchor distT="0" distB="0" distL="114300" distR="114300" simplePos="0" relativeHeight="251661312" behindDoc="0" locked="0" layoutInCell="1" allowOverlap="1" wp14:anchorId="4BFB7670" wp14:editId="5F5F2CDD">
              <wp:simplePos x="0" y="0"/>
              <wp:positionH relativeFrom="page">
                <wp:align>left</wp:align>
              </wp:positionH>
              <wp:positionV relativeFrom="paragraph">
                <wp:posOffset>456921</wp:posOffset>
              </wp:positionV>
              <wp:extent cx="7538054" cy="45719"/>
              <wp:effectExtent l="0" t="0" r="25400" b="12065"/>
              <wp:wrapNone/>
              <wp:docPr id="26" name="Flussdiagramm: Prozess 26"/>
              <wp:cNvGraphicFramePr/>
              <a:graphic xmlns:a="http://schemas.openxmlformats.org/drawingml/2006/main">
                <a:graphicData uri="http://schemas.microsoft.com/office/word/2010/wordprocessingShape">
                  <wps:wsp>
                    <wps:cNvSpPr/>
                    <wps:spPr>
                      <a:xfrm>
                        <a:off x="0" y="0"/>
                        <a:ext cx="7538054" cy="45719"/>
                      </a:xfrm>
                      <a:prstGeom prst="flowChartProcess">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4A0F4" id="_x0000_t109" coordsize="21600,21600" o:spt="109" path="m,l,21600r21600,l21600,xe">
              <v:stroke joinstyle="miter"/>
              <v:path gradientshapeok="t" o:connecttype="rect"/>
            </v:shapetype>
            <v:shape id="Flussdiagramm: Prozess 26" o:spid="_x0000_s1026" type="#_x0000_t109" style="position:absolute;margin-left:0;margin-top:36pt;width:593.55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" fillcolor="#2f5496 [2404]" strokecolor="#2f5496 [2404]" strokeweight="1pt">
              <w10:wrap anchorx="page"/>
            </v:shape>
          </w:pict>
        </mc:Fallback>
      </mc:AlternateContent>
    </w:r>
    <w:r w:rsidR="00C5047A" w:rsidRPr="003556C1">
      <w:rPr>
        <w:color w:val="2F5496" w:themeColor="accent1" w:themeShade="BF"/>
        <w:lang w:val="de-DE"/>
      </w:rPr>
      <w:t xml:space="preserve">Quellenblatt zum </w:t>
    </w:r>
    <w:r w:rsidR="009A342C" w:rsidRPr="003556C1">
      <w:rPr>
        <w:color w:val="2F5496" w:themeColor="accent1" w:themeShade="BF"/>
        <w:lang w:val="de-DE"/>
      </w:rPr>
      <w:t>Podcast</w:t>
    </w:r>
    <w:r w:rsidR="00C5047A" w:rsidRPr="003556C1">
      <w:rPr>
        <w:color w:val="2F5496" w:themeColor="accent1" w:themeShade="BF"/>
        <w:lang w:val="de-DE"/>
      </w:rPr>
      <w:t xml:space="preserve"> „Mittelalter“ von Dr. Sophia Schmitt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44"/>
    <w:rsid w:val="00020531"/>
    <w:rsid w:val="000234FF"/>
    <w:rsid w:val="0003401D"/>
    <w:rsid w:val="00052DAF"/>
    <w:rsid w:val="00055A6B"/>
    <w:rsid w:val="00064720"/>
    <w:rsid w:val="00065421"/>
    <w:rsid w:val="00073A5F"/>
    <w:rsid w:val="00086CBC"/>
    <w:rsid w:val="000954AC"/>
    <w:rsid w:val="000B02B8"/>
    <w:rsid w:val="000B681B"/>
    <w:rsid w:val="000B6DF3"/>
    <w:rsid w:val="000C7A11"/>
    <w:rsid w:val="000D09BE"/>
    <w:rsid w:val="000E4EA2"/>
    <w:rsid w:val="00102CA5"/>
    <w:rsid w:val="001039F0"/>
    <w:rsid w:val="00117A85"/>
    <w:rsid w:val="00131408"/>
    <w:rsid w:val="001376B3"/>
    <w:rsid w:val="00147316"/>
    <w:rsid w:val="00155F61"/>
    <w:rsid w:val="00165542"/>
    <w:rsid w:val="00180DAB"/>
    <w:rsid w:val="00194EC9"/>
    <w:rsid w:val="001A6A84"/>
    <w:rsid w:val="001C64DD"/>
    <w:rsid w:val="002019F9"/>
    <w:rsid w:val="0021306B"/>
    <w:rsid w:val="00217C3C"/>
    <w:rsid w:val="00233274"/>
    <w:rsid w:val="00251532"/>
    <w:rsid w:val="00253A07"/>
    <w:rsid w:val="0026774E"/>
    <w:rsid w:val="00272C06"/>
    <w:rsid w:val="002865B0"/>
    <w:rsid w:val="002D446F"/>
    <w:rsid w:val="0030146B"/>
    <w:rsid w:val="003556C1"/>
    <w:rsid w:val="00375290"/>
    <w:rsid w:val="0038265D"/>
    <w:rsid w:val="00393B13"/>
    <w:rsid w:val="003A1938"/>
    <w:rsid w:val="003A6EAF"/>
    <w:rsid w:val="003B4B96"/>
    <w:rsid w:val="003B63AB"/>
    <w:rsid w:val="003B67D5"/>
    <w:rsid w:val="003D04F3"/>
    <w:rsid w:val="00405111"/>
    <w:rsid w:val="0042620D"/>
    <w:rsid w:val="00427452"/>
    <w:rsid w:val="0043151D"/>
    <w:rsid w:val="00433B35"/>
    <w:rsid w:val="00435573"/>
    <w:rsid w:val="004465D0"/>
    <w:rsid w:val="00455070"/>
    <w:rsid w:val="004778F9"/>
    <w:rsid w:val="004824FC"/>
    <w:rsid w:val="004B741F"/>
    <w:rsid w:val="004C0670"/>
    <w:rsid w:val="004E3A90"/>
    <w:rsid w:val="004E6BD7"/>
    <w:rsid w:val="0053680E"/>
    <w:rsid w:val="005430C1"/>
    <w:rsid w:val="0055308C"/>
    <w:rsid w:val="005614A9"/>
    <w:rsid w:val="005728EB"/>
    <w:rsid w:val="005852BC"/>
    <w:rsid w:val="00593445"/>
    <w:rsid w:val="005A3C24"/>
    <w:rsid w:val="005A7EA8"/>
    <w:rsid w:val="005B433D"/>
    <w:rsid w:val="005C7362"/>
    <w:rsid w:val="005F66FA"/>
    <w:rsid w:val="006001AC"/>
    <w:rsid w:val="00617F16"/>
    <w:rsid w:val="00625CCB"/>
    <w:rsid w:val="00645341"/>
    <w:rsid w:val="006B4678"/>
    <w:rsid w:val="006C7F05"/>
    <w:rsid w:val="006E5839"/>
    <w:rsid w:val="006E6A4C"/>
    <w:rsid w:val="007025E9"/>
    <w:rsid w:val="00715BF8"/>
    <w:rsid w:val="00727883"/>
    <w:rsid w:val="0073784C"/>
    <w:rsid w:val="007554D1"/>
    <w:rsid w:val="00762505"/>
    <w:rsid w:val="00764555"/>
    <w:rsid w:val="007750F8"/>
    <w:rsid w:val="007817D4"/>
    <w:rsid w:val="0079337A"/>
    <w:rsid w:val="0079431A"/>
    <w:rsid w:val="007A10D9"/>
    <w:rsid w:val="007B2ABC"/>
    <w:rsid w:val="007B2B23"/>
    <w:rsid w:val="007D7260"/>
    <w:rsid w:val="008027F0"/>
    <w:rsid w:val="008102E6"/>
    <w:rsid w:val="00825894"/>
    <w:rsid w:val="00836C44"/>
    <w:rsid w:val="00842913"/>
    <w:rsid w:val="008475AF"/>
    <w:rsid w:val="00861208"/>
    <w:rsid w:val="00895D33"/>
    <w:rsid w:val="008A212B"/>
    <w:rsid w:val="008A27D5"/>
    <w:rsid w:val="008B1DF6"/>
    <w:rsid w:val="008B2B6C"/>
    <w:rsid w:val="008B6384"/>
    <w:rsid w:val="008C0E15"/>
    <w:rsid w:val="008C587D"/>
    <w:rsid w:val="008C6C9D"/>
    <w:rsid w:val="008E73B3"/>
    <w:rsid w:val="008F34C9"/>
    <w:rsid w:val="0091553B"/>
    <w:rsid w:val="00930135"/>
    <w:rsid w:val="0094159A"/>
    <w:rsid w:val="0095049D"/>
    <w:rsid w:val="00950FB0"/>
    <w:rsid w:val="00996090"/>
    <w:rsid w:val="009A342C"/>
    <w:rsid w:val="009A5FD7"/>
    <w:rsid w:val="009A78D7"/>
    <w:rsid w:val="009B579F"/>
    <w:rsid w:val="009E460E"/>
    <w:rsid w:val="009E6AFE"/>
    <w:rsid w:val="009E76B9"/>
    <w:rsid w:val="00A0169E"/>
    <w:rsid w:val="00A144E3"/>
    <w:rsid w:val="00A2156A"/>
    <w:rsid w:val="00A723F0"/>
    <w:rsid w:val="00A7593D"/>
    <w:rsid w:val="00A96C32"/>
    <w:rsid w:val="00AA0A01"/>
    <w:rsid w:val="00AA21F0"/>
    <w:rsid w:val="00AA4D1F"/>
    <w:rsid w:val="00AE7EC7"/>
    <w:rsid w:val="00AF5537"/>
    <w:rsid w:val="00B1301F"/>
    <w:rsid w:val="00B14865"/>
    <w:rsid w:val="00B24D96"/>
    <w:rsid w:val="00B44131"/>
    <w:rsid w:val="00B800F5"/>
    <w:rsid w:val="00B85DAE"/>
    <w:rsid w:val="00B87D6C"/>
    <w:rsid w:val="00B903D1"/>
    <w:rsid w:val="00B95F2F"/>
    <w:rsid w:val="00B973B1"/>
    <w:rsid w:val="00BA43A8"/>
    <w:rsid w:val="00BA5832"/>
    <w:rsid w:val="00BB50E1"/>
    <w:rsid w:val="00BB6288"/>
    <w:rsid w:val="00BD379B"/>
    <w:rsid w:val="00BD73D0"/>
    <w:rsid w:val="00BF0DD0"/>
    <w:rsid w:val="00C0333C"/>
    <w:rsid w:val="00C035F0"/>
    <w:rsid w:val="00C05057"/>
    <w:rsid w:val="00C16626"/>
    <w:rsid w:val="00C20100"/>
    <w:rsid w:val="00C47279"/>
    <w:rsid w:val="00C5047A"/>
    <w:rsid w:val="00C6401D"/>
    <w:rsid w:val="00C72C18"/>
    <w:rsid w:val="00C778E2"/>
    <w:rsid w:val="00CB2031"/>
    <w:rsid w:val="00CD2BC0"/>
    <w:rsid w:val="00CE39A3"/>
    <w:rsid w:val="00D211A9"/>
    <w:rsid w:val="00D23832"/>
    <w:rsid w:val="00D43844"/>
    <w:rsid w:val="00D47909"/>
    <w:rsid w:val="00D6627C"/>
    <w:rsid w:val="00D7496B"/>
    <w:rsid w:val="00D76EC0"/>
    <w:rsid w:val="00D864FA"/>
    <w:rsid w:val="00D94047"/>
    <w:rsid w:val="00DB4521"/>
    <w:rsid w:val="00DC2FFE"/>
    <w:rsid w:val="00DD2C3A"/>
    <w:rsid w:val="00DD33AC"/>
    <w:rsid w:val="00E05276"/>
    <w:rsid w:val="00E05C40"/>
    <w:rsid w:val="00E1577D"/>
    <w:rsid w:val="00E21811"/>
    <w:rsid w:val="00E27DD5"/>
    <w:rsid w:val="00E34002"/>
    <w:rsid w:val="00EA1339"/>
    <w:rsid w:val="00EA39CA"/>
    <w:rsid w:val="00EA79D0"/>
    <w:rsid w:val="00EC2561"/>
    <w:rsid w:val="00ED2E21"/>
    <w:rsid w:val="00ED73B1"/>
    <w:rsid w:val="00EE1C22"/>
    <w:rsid w:val="00EF46E3"/>
    <w:rsid w:val="00F0110D"/>
    <w:rsid w:val="00F15D74"/>
    <w:rsid w:val="00F2424E"/>
    <w:rsid w:val="00F408AC"/>
    <w:rsid w:val="00F661AE"/>
    <w:rsid w:val="00F837BB"/>
    <w:rsid w:val="00F91896"/>
    <w:rsid w:val="00F9468F"/>
    <w:rsid w:val="00F95B02"/>
    <w:rsid w:val="00F97243"/>
    <w:rsid w:val="00FA4AE0"/>
    <w:rsid w:val="00FE78B3"/>
    <w:rsid w:val="00FF34E6"/>
    <w:rsid w:val="00FF48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4249"/>
  <w15:chartTrackingRefBased/>
  <w15:docId w15:val="{6C507B94-1546-4387-9BBF-94E85AF8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24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7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5047A"/>
  </w:style>
  <w:style w:type="paragraph" w:styleId="Fuzeile">
    <w:name w:val="footer"/>
    <w:basedOn w:val="Standard"/>
    <w:link w:val="FuzeileZchn"/>
    <w:uiPriority w:val="99"/>
    <w:unhideWhenUsed/>
    <w:rsid w:val="00C5047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5047A"/>
  </w:style>
  <w:style w:type="paragraph" w:styleId="StandardWeb">
    <w:name w:val="Normal (Web)"/>
    <w:basedOn w:val="Standard"/>
    <w:uiPriority w:val="99"/>
    <w:semiHidden/>
    <w:unhideWhenUsed/>
    <w:rsid w:val="00D238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bsatz-Standardschriftart"/>
    <w:uiPriority w:val="99"/>
    <w:unhideWhenUsed/>
    <w:rsid w:val="00073A5F"/>
    <w:rPr>
      <w:color w:val="0563C1" w:themeColor="hyperlink"/>
      <w:u w:val="single"/>
    </w:rPr>
  </w:style>
  <w:style w:type="character" w:styleId="NichtaufgelsteErwhnung">
    <w:name w:val="Unresolved Mention"/>
    <w:basedOn w:val="Absatz-Standardschriftart"/>
    <w:uiPriority w:val="99"/>
    <w:semiHidden/>
    <w:unhideWhenUsed/>
    <w:rsid w:val="00073A5F"/>
    <w:rPr>
      <w:color w:val="605E5C"/>
      <w:shd w:val="clear" w:color="auto" w:fill="E1DFDD"/>
    </w:rPr>
  </w:style>
  <w:style w:type="character" w:styleId="Kommentarzeichen">
    <w:name w:val="annotation reference"/>
    <w:basedOn w:val="Absatz-Standardschriftart"/>
    <w:uiPriority w:val="99"/>
    <w:semiHidden/>
    <w:unhideWhenUsed/>
    <w:rsid w:val="0094159A"/>
    <w:rPr>
      <w:sz w:val="16"/>
      <w:szCs w:val="16"/>
    </w:rPr>
  </w:style>
  <w:style w:type="paragraph" w:styleId="Kommentartext">
    <w:name w:val="annotation text"/>
    <w:basedOn w:val="Standard"/>
    <w:link w:val="KommentartextZchn"/>
    <w:uiPriority w:val="99"/>
    <w:semiHidden/>
    <w:unhideWhenUsed/>
    <w:rsid w:val="0094159A"/>
    <w:pPr>
      <w:spacing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94159A"/>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4798">
      <w:bodyDiv w:val="1"/>
      <w:marLeft w:val="0"/>
      <w:marRight w:val="0"/>
      <w:marTop w:val="0"/>
      <w:marBottom w:val="0"/>
      <w:divBdr>
        <w:top w:val="none" w:sz="0" w:space="0" w:color="auto"/>
        <w:left w:val="none" w:sz="0" w:space="0" w:color="auto"/>
        <w:bottom w:val="none" w:sz="0" w:space="0" w:color="auto"/>
        <w:right w:val="none" w:sz="0" w:space="0" w:color="auto"/>
      </w:divBdr>
    </w:div>
    <w:div w:id="373848863">
      <w:bodyDiv w:val="1"/>
      <w:marLeft w:val="0"/>
      <w:marRight w:val="0"/>
      <w:marTop w:val="0"/>
      <w:marBottom w:val="0"/>
      <w:divBdr>
        <w:top w:val="none" w:sz="0" w:space="0" w:color="auto"/>
        <w:left w:val="none" w:sz="0" w:space="0" w:color="auto"/>
        <w:bottom w:val="none" w:sz="0" w:space="0" w:color="auto"/>
        <w:right w:val="none" w:sz="0" w:space="0" w:color="auto"/>
      </w:divBdr>
    </w:div>
    <w:div w:id="936016036">
      <w:bodyDiv w:val="1"/>
      <w:marLeft w:val="0"/>
      <w:marRight w:val="0"/>
      <w:marTop w:val="0"/>
      <w:marBottom w:val="0"/>
      <w:divBdr>
        <w:top w:val="none" w:sz="0" w:space="0" w:color="auto"/>
        <w:left w:val="none" w:sz="0" w:space="0" w:color="auto"/>
        <w:bottom w:val="none" w:sz="0" w:space="0" w:color="auto"/>
        <w:right w:val="none" w:sz="0" w:space="0" w:color="auto"/>
      </w:divBdr>
    </w:div>
    <w:div w:id="1026829351">
      <w:bodyDiv w:val="1"/>
      <w:marLeft w:val="0"/>
      <w:marRight w:val="0"/>
      <w:marTop w:val="0"/>
      <w:marBottom w:val="0"/>
      <w:divBdr>
        <w:top w:val="none" w:sz="0" w:space="0" w:color="auto"/>
        <w:left w:val="none" w:sz="0" w:space="0" w:color="auto"/>
        <w:bottom w:val="none" w:sz="0" w:space="0" w:color="auto"/>
        <w:right w:val="none" w:sz="0" w:space="0" w:color="auto"/>
      </w:divBdr>
    </w:div>
    <w:div w:id="1260139884">
      <w:bodyDiv w:val="1"/>
      <w:marLeft w:val="0"/>
      <w:marRight w:val="0"/>
      <w:marTop w:val="0"/>
      <w:marBottom w:val="0"/>
      <w:divBdr>
        <w:top w:val="none" w:sz="0" w:space="0" w:color="auto"/>
        <w:left w:val="none" w:sz="0" w:space="0" w:color="auto"/>
        <w:bottom w:val="none" w:sz="0" w:space="0" w:color="auto"/>
        <w:right w:val="none" w:sz="0" w:space="0" w:color="auto"/>
      </w:divBdr>
    </w:div>
    <w:div w:id="12807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0A62-1248-4FF4-A673-F7A1C300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Pages>
  <Words>1955</Words>
  <Characters>11144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230</cp:revision>
  <dcterms:created xsi:type="dcterms:W3CDTF">2021-05-05T20:12:00Z</dcterms:created>
  <dcterms:modified xsi:type="dcterms:W3CDTF">2021-06-07T12:12:00Z</dcterms:modified>
</cp:coreProperties>
</file>